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customXml/item1.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3.xml" ContentType="application/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pkgRId0" Type="http://schemas.openxmlformats.org/officeDocument/2006/relationships/officeDocument" Target="word/document.xml"/><Relationship Id="rId1" Type="http://schemas.openxmlformats.org/officeDocument/2006/relationships/custom-properties" Target="docProps/custom.xml"/></Relationships>
</file>

<file path=word/document.xml><?xml version="1.0" encoding="utf-8"?>
<w:document xmlns:w="http://schemas.openxmlformats.org/wordprocessingml/2006/main">
  <w:body>
    <w:tbl>
      <w:tblPr/>
      <w:tblGrid>
        <w:gridCol w:w="6894"/>
      </w:tblGrid>
      <w:tr>
        <w:trPr>
          <w:trHeight w:val="3600" w:hRule="auto"/>
          <w:jc w:val="right"/>
        </w:trPr>
        <w:tc>
          <w:tcPr>
            <w:tcW w:w="689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864" w:hRule="auto"/>
          <w:jc w:val="right"/>
        </w:trPr>
        <w:tc>
          <w:tcPr>
            <w:tcW w:w="689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80" w:hRule="auto"/>
          <w:jc w:val="right"/>
        </w:trPr>
        <w:tc>
          <w:tcPr>
            <w:tcW w:w="689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80" w:hRule="auto"/>
          <w:jc w:val="right"/>
        </w:trPr>
        <w:tc>
          <w:tcPr>
            <w:tcW w:w="689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80" w:hRule="auto"/>
          <w:jc w:val="right"/>
        </w:trPr>
        <w:tc>
          <w:tcPr>
            <w:tcW w:w="689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80" w:hRule="auto"/>
          <w:jc w:val="right"/>
        </w:trPr>
        <w:tc>
          <w:tcPr>
            <w:tcW w:w="689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3528" w:hRule="auto"/>
          <w:jc w:val="right"/>
        </w:trPr>
        <w:tc>
          <w:tcPr>
            <w:tcW w:w="689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tabs>
                <w:tab w:val="left" w:pos="360" w:leader="none"/>
                <w:tab w:val="left" w:pos="720" w:leader="none"/>
                <w:tab w:val="left" w:pos="1080" w:leader="none"/>
              </w:tabs>
              <w:spacing w:before="0" w:after="0" w:line="240"/>
              <w:ind w:right="1134" w:left="72" w:firstLine="0"/>
              <w:jc w:val="right"/>
              <w:rPr>
                <w:rFonts w:ascii="Arial Bold" w:hAnsi="Arial Bold" w:cs="Arial Bold" w:eastAsia="Arial Bold"/>
                <w:b/>
                <w:i/>
                <w:color w:val="auto"/>
                <w:spacing w:val="0"/>
                <w:position w:val="0"/>
                <w:sz w:val="28"/>
                <w:shd w:fill="auto" w:val="clear"/>
              </w:rPr>
            </w:pPr>
            <w:r>
              <w:rPr>
                <w:rFonts w:ascii="Arial Bold" w:hAnsi="Arial Bold" w:cs="Arial Bold" w:eastAsia="Arial Bold"/>
                <w:b/>
                <w:i/>
                <w:color w:val="auto"/>
                <w:spacing w:val="0"/>
                <w:position w:val="0"/>
                <w:sz w:val="28"/>
                <w:shd w:fill="auto" w:val="clear"/>
              </w:rPr>
              <w:t xml:space="preserve">Prepared for</w:t>
            </w:r>
          </w:p>
          <w:p>
            <w:pPr>
              <w:tabs>
                <w:tab w:val="left" w:pos="360" w:leader="none"/>
                <w:tab w:val="left" w:pos="720" w:leader="none"/>
                <w:tab w:val="left" w:pos="1080" w:leader="none"/>
              </w:tabs>
              <w:spacing w:before="0" w:after="0" w:line="240"/>
              <w:ind w:right="1134" w:left="72" w:firstLine="0"/>
              <w:jc w:val="right"/>
              <w:rPr>
                <w:rFonts w:ascii="Arial Bold" w:hAnsi="Arial Bold" w:cs="Arial Bold" w:eastAsia="Arial Bold"/>
                <w:b/>
                <w:i/>
                <w:color w:val="auto"/>
                <w:spacing w:val="0"/>
                <w:position w:val="0"/>
                <w:sz w:val="28"/>
                <w:shd w:fill="auto" w:val="clear"/>
              </w:rPr>
            </w:pPr>
            <w:r>
              <w:rPr>
                <w:rFonts w:ascii="Arial Bold" w:hAnsi="Arial Bold" w:cs="Arial Bold" w:eastAsia="Arial Bold"/>
                <w:b/>
                <w:i/>
                <w:color w:val="auto"/>
                <w:spacing w:val="0"/>
                <w:position w:val="0"/>
                <w:sz w:val="28"/>
                <w:shd w:fill="auto" w:val="clear"/>
              </w:rPr>
              <w:t xml:space="preserve">U.S. Department of Energy</w:t>
            </w:r>
          </w:p>
          <w:p>
            <w:pPr>
              <w:tabs>
                <w:tab w:val="left" w:pos="360" w:leader="none"/>
                <w:tab w:val="left" w:pos="720" w:leader="none"/>
                <w:tab w:val="left" w:pos="1080" w:leader="none"/>
              </w:tabs>
              <w:spacing w:before="0" w:after="0" w:line="240"/>
              <w:ind w:right="1134" w:left="72" w:firstLine="0"/>
              <w:jc w:val="right"/>
              <w:rPr>
                <w:rFonts w:ascii="Arial Bold" w:hAnsi="Arial Bold" w:cs="Arial Bold" w:eastAsia="Arial Bold"/>
                <w:b/>
                <w:i/>
                <w:color w:val="auto"/>
                <w:spacing w:val="0"/>
                <w:position w:val="0"/>
                <w:sz w:val="28"/>
                <w:shd w:fill="auto" w:val="clear"/>
              </w:rPr>
            </w:pPr>
            <w:r>
              <w:rPr>
                <w:rFonts w:ascii="Arial Bold" w:hAnsi="Arial Bold" w:cs="Arial Bold" w:eastAsia="Arial Bold"/>
                <w:b/>
                <w:i/>
                <w:color w:val="auto"/>
                <w:spacing w:val="0"/>
                <w:position w:val="0"/>
                <w:sz w:val="28"/>
                <w:shd w:fill="auto" w:val="clear"/>
              </w:rPr>
              <w:t xml:space="preserve">Used Fuel Disposition Campaign</w:t>
            </w:r>
          </w:p>
          <w:p>
            <w:pPr>
              <w:tabs>
                <w:tab w:val="left" w:pos="360" w:leader="none"/>
                <w:tab w:val="left" w:pos="720" w:leader="none"/>
                <w:tab w:val="left" w:pos="1080" w:leader="none"/>
              </w:tabs>
              <w:spacing w:before="0" w:after="0" w:line="240"/>
              <w:ind w:right="1134" w:left="72" w:firstLine="0"/>
              <w:jc w:val="right"/>
              <w:rPr>
                <w:rFonts w:ascii="Arial Bold" w:hAnsi="Arial Bold" w:cs="Arial Bold" w:eastAsia="Arial Bold"/>
                <w:b/>
                <w:i/>
                <w:color w:val="auto"/>
                <w:spacing w:val="0"/>
                <w:position w:val="0"/>
                <w:sz w:val="28"/>
                <w:shd w:fill="auto" w:val="clear"/>
              </w:rPr>
            </w:pPr>
            <w:r>
              <w:rPr>
                <w:rFonts w:ascii="Arial Bold" w:hAnsi="Arial Bold" w:cs="Arial Bold" w:eastAsia="Arial Bold"/>
                <w:b/>
                <w:i/>
                <w:color w:val="auto"/>
                <w:spacing w:val="0"/>
                <w:position w:val="0"/>
                <w:sz w:val="28"/>
                <w:shd w:fill="auto" w:val="clear"/>
              </w:rPr>
              <w:t xml:space="preserve">Steven Ross, Ralph Best, Philip Jensen, Nick Klymyshyn, and William Shust,</w:t>
            </w:r>
          </w:p>
          <w:p>
            <w:pPr>
              <w:tabs>
                <w:tab w:val="left" w:pos="360" w:leader="none"/>
                <w:tab w:val="left" w:pos="720" w:leader="none"/>
                <w:tab w:val="left" w:pos="1080" w:leader="none"/>
              </w:tabs>
              <w:spacing w:before="0" w:after="0" w:line="240"/>
              <w:ind w:right="1134" w:left="72" w:firstLine="0"/>
              <w:jc w:val="right"/>
              <w:rPr>
                <w:rFonts w:ascii="Arial Bold" w:hAnsi="Arial Bold" w:cs="Arial Bold" w:eastAsia="Arial Bold"/>
                <w:b/>
                <w:i/>
                <w:color w:val="auto"/>
                <w:spacing w:val="0"/>
                <w:position w:val="0"/>
                <w:sz w:val="28"/>
                <w:shd w:fill="auto" w:val="clear"/>
              </w:rPr>
            </w:pPr>
            <w:r>
              <w:rPr>
                <w:rFonts w:ascii="Arial Bold" w:hAnsi="Arial Bold" w:cs="Arial Bold" w:eastAsia="Arial Bold"/>
                <w:b/>
                <w:i/>
                <w:color w:val="auto"/>
                <w:spacing w:val="0"/>
                <w:position w:val="0"/>
                <w:sz w:val="28"/>
                <w:shd w:fill="auto" w:val="clear"/>
              </w:rPr>
              <w:t xml:space="preserve">Pacific Northwest National Laboratory</w:t>
            </w:r>
          </w:p>
          <w:p>
            <w:pPr>
              <w:tabs>
                <w:tab w:val="left" w:pos="360" w:leader="none"/>
                <w:tab w:val="left" w:pos="720" w:leader="none"/>
                <w:tab w:val="left" w:pos="1080" w:leader="none"/>
              </w:tabs>
              <w:spacing w:before="0" w:after="0" w:line="240"/>
              <w:ind w:right="1134" w:left="72" w:firstLine="0"/>
              <w:jc w:val="right"/>
              <w:rPr>
                <w:rFonts w:ascii="Arial Bold" w:hAnsi="Arial Bold" w:cs="Arial Bold" w:eastAsia="Arial Bold"/>
                <w:b/>
                <w:i/>
                <w:color w:val="auto"/>
                <w:spacing w:val="0"/>
                <w:position w:val="0"/>
                <w:sz w:val="28"/>
                <w:shd w:fill="auto" w:val="clear"/>
              </w:rPr>
            </w:pPr>
            <w:r>
              <w:rPr>
                <w:rFonts w:ascii="Arial Bold" w:hAnsi="Arial Bold" w:cs="Arial Bold" w:eastAsia="Arial Bold"/>
                <w:b/>
                <w:i/>
                <w:color w:val="auto"/>
                <w:spacing w:val="0"/>
                <w:position w:val="0"/>
                <w:sz w:val="28"/>
                <w:shd w:fill="auto" w:val="clear"/>
              </w:rPr>
              <w:t xml:space="preserve">David Garrido, Equipos Nucleares S.A.</w:t>
            </w:r>
          </w:p>
          <w:p>
            <w:pPr>
              <w:tabs>
                <w:tab w:val="left" w:pos="360" w:leader="none"/>
                <w:tab w:val="left" w:pos="720" w:leader="none"/>
                <w:tab w:val="left" w:pos="1080" w:leader="none"/>
              </w:tabs>
              <w:spacing w:before="0" w:after="0" w:line="240"/>
              <w:ind w:right="1134" w:left="72" w:firstLine="0"/>
              <w:jc w:val="right"/>
              <w:rPr>
                <w:rFonts w:ascii="Arial Bold" w:hAnsi="Arial Bold" w:cs="Arial Bold" w:eastAsia="Arial Bold"/>
                <w:b/>
                <w:i/>
                <w:color w:val="auto"/>
                <w:spacing w:val="0"/>
                <w:position w:val="0"/>
                <w:sz w:val="28"/>
                <w:shd w:fill="auto" w:val="clear"/>
              </w:rPr>
            </w:pPr>
            <w:r>
              <w:rPr>
                <w:rFonts w:ascii="Arial Bold" w:hAnsi="Arial Bold" w:cs="Arial Bold" w:eastAsia="Arial Bold"/>
                <w:b/>
                <w:i/>
                <w:color w:val="auto"/>
                <w:spacing w:val="0"/>
                <w:position w:val="0"/>
                <w:sz w:val="28"/>
                <w:shd w:fill="auto" w:val="clear"/>
              </w:rPr>
              <w:t xml:space="preserve">Russ Walker, Stan Gurule, Ruben Pena,</w:t>
            </w:r>
          </w:p>
          <w:p>
            <w:pPr>
              <w:tabs>
                <w:tab w:val="left" w:pos="360" w:leader="none"/>
                <w:tab w:val="left" w:pos="720" w:leader="none"/>
                <w:tab w:val="left" w:pos="1080" w:leader="none"/>
              </w:tabs>
              <w:spacing w:before="0" w:after="0" w:line="240"/>
              <w:ind w:right="1134" w:left="72" w:firstLine="0"/>
              <w:jc w:val="right"/>
              <w:rPr>
                <w:rFonts w:ascii="Arial Bold" w:hAnsi="Arial Bold" w:cs="Arial Bold" w:eastAsia="Arial Bold"/>
                <w:b/>
                <w:i/>
                <w:color w:val="auto"/>
                <w:spacing w:val="0"/>
                <w:position w:val="0"/>
                <w:sz w:val="28"/>
                <w:shd w:fill="auto" w:val="clear"/>
              </w:rPr>
            </w:pPr>
            <w:r>
              <w:rPr>
                <w:rFonts w:ascii="Arial Bold" w:hAnsi="Arial Bold" w:cs="Arial Bold" w:eastAsia="Arial Bold"/>
                <w:b/>
                <w:i/>
                <w:color w:val="auto"/>
                <w:spacing w:val="0"/>
                <w:position w:val="0"/>
                <w:sz w:val="28"/>
                <w:shd w:fill="auto" w:val="clear"/>
              </w:rPr>
              <w:t xml:space="preserve">Transportation Technology Center, Inc.</w:t>
            </w:r>
          </w:p>
          <w:p>
            <w:pPr>
              <w:tabs>
                <w:tab w:val="left" w:pos="360" w:leader="none"/>
                <w:tab w:val="left" w:pos="720" w:leader="none"/>
                <w:tab w:val="left" w:pos="1080" w:leader="none"/>
              </w:tabs>
              <w:spacing w:before="0" w:after="0" w:line="240"/>
              <w:ind w:right="1134" w:left="72" w:firstLine="0"/>
              <w:jc w:val="right"/>
              <w:rPr>
                <w:rFonts w:ascii="Arial Bold" w:hAnsi="Arial Bold" w:cs="Arial Bold" w:eastAsia="Arial Bold"/>
                <w:b/>
                <w:i/>
                <w:color w:val="auto"/>
                <w:spacing w:val="0"/>
                <w:position w:val="0"/>
                <w:sz w:val="28"/>
                <w:shd w:fill="auto" w:val="clear"/>
              </w:rPr>
            </w:pPr>
            <w:r>
              <w:rPr>
                <w:rFonts w:ascii="Arial Bold" w:hAnsi="Arial Bold" w:cs="Arial Bold" w:eastAsia="Arial Bold"/>
                <w:b/>
                <w:i/>
                <w:color w:val="auto"/>
                <w:spacing w:val="0"/>
                <w:position w:val="0"/>
                <w:sz w:val="28"/>
                <w:shd w:fill="auto" w:val="clear"/>
              </w:rPr>
              <w:t xml:space="preserve">August 19, 2016</w:t>
            </w:r>
          </w:p>
          <w:p>
            <w:pPr>
              <w:tabs>
                <w:tab w:val="left" w:pos="360" w:leader="none"/>
                <w:tab w:val="left" w:pos="720" w:leader="none"/>
                <w:tab w:val="left" w:pos="1080" w:leader="none"/>
              </w:tabs>
              <w:spacing w:before="0" w:after="0" w:line="240"/>
              <w:ind w:right="1134" w:left="72" w:firstLine="0"/>
              <w:jc w:val="right"/>
              <w:rPr>
                <w:rFonts w:ascii="Arial Bold" w:hAnsi="Arial Bold" w:cs="Arial Bold" w:eastAsia="Arial Bold"/>
                <w:b/>
                <w:i/>
                <w:color w:val="auto"/>
                <w:spacing w:val="0"/>
                <w:position w:val="0"/>
                <w:sz w:val="28"/>
                <w:shd w:fill="auto" w:val="clear"/>
              </w:rPr>
            </w:pPr>
            <w:r>
              <w:rPr>
                <w:rFonts w:ascii="Arial Bold" w:hAnsi="Arial Bold" w:cs="Arial Bold" w:eastAsia="Arial Bold"/>
                <w:b/>
                <w:i/>
                <w:color w:val="auto"/>
                <w:spacing w:val="0"/>
                <w:position w:val="0"/>
                <w:sz w:val="28"/>
                <w:shd w:fill="auto" w:val="clear"/>
              </w:rPr>
              <w:t xml:space="preserve">FCRD-UFD-2016-000424</w:t>
            </w:r>
          </w:p>
          <w:p>
            <w:pPr>
              <w:tabs>
                <w:tab w:val="left" w:pos="360" w:leader="none"/>
                <w:tab w:val="left" w:pos="720" w:leader="none"/>
                <w:tab w:val="left" w:pos="1080" w:leader="none"/>
              </w:tabs>
              <w:spacing w:before="0" w:after="0" w:line="240"/>
              <w:ind w:right="1134" w:left="72" w:firstLine="0"/>
              <w:jc w:val="right"/>
              <w:rPr>
                <w:color w:val="auto"/>
                <w:spacing w:val="0"/>
                <w:position w:val="0"/>
                <w:shd w:fill="auto" w:val="clear"/>
              </w:rPr>
            </w:pPr>
            <w:r>
              <w:rPr>
                <w:rFonts w:ascii="Arial Bold" w:hAnsi="Arial Bold" w:cs="Arial Bold" w:eastAsia="Arial Bold"/>
                <w:b/>
                <w:i/>
                <w:color w:val="auto"/>
                <w:spacing w:val="0"/>
                <w:position w:val="0"/>
                <w:sz w:val="28"/>
                <w:shd w:fill="auto" w:val="clear"/>
              </w:rPr>
              <w:t xml:space="preserve">PNNL-25720</w:t>
            </w:r>
          </w:p>
        </w:tc>
      </w:tr>
    </w:tbl>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880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center"/>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center"/>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center"/>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Reviewed by:</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Project Manager, Brady Hanson</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_________________________________________</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Name</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numPr>
          <w:ilvl w:val="0"/>
          <w:numId w:val="23"/>
        </w:numPr>
        <w:tabs>
          <w:tab w:val="left" w:pos="540" w:leader="none"/>
        </w:tabs>
        <w:spacing w:before="0" w:after="360" w:line="264"/>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SUMMARY</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report fulfills milestone M3FT-16PN080204011 “Support the development of a comprehensive full-scale test plan” under work package FT-16PN08020401.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report provides input to the Equipos Nucleares S.A. (ENSA)/U.S. Department of Energy (DOE) transport cask Shock and Vibration Test Plan, which is an M2 milestone. These tests will be conducted by Sandia National Laboratories, Pacific Northwest National Laboratory, Savannah River National Laboratory, ENSA, and Transportation Technology Center, Inc. (TTCI) under the auspices of the DOE Office of Nuclear Energy, Used Nuclear Fuel Disposition Program.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objective of the transport shock and vibration testing program is to obtain data necessary for closing the Stress Profiles technical data gap as identified in Hanson et al. (2012). Gap closure with respect to stresses associated with cask movement and normal conditions of transport will be accomplished by measuring and quantifying the mechanical loads (e.g., strains and accelerations) on various components, but especially on the fuel assembly. This information will guide materials research and establish a technical basis for review organizations such as the U.S. Nuclear Regulatory Commission. While limited experimental and numerical modeling data of loads and failure limits applicable to normal conditions of rail transport exist, the data are either outdated relative to present-day railroad operations and equipment, or are based on assumptions that can only be verified through experimental testing. Structural performance models using the material properties of the cask and assembly components used in this testing program will be validated by comparing against the stress profile data. The performance of different systems and actual spent fuel assemblies can then be modeled with confidence by substituting the material properties obtained in other testing performed by the Used Fuel Disposition Campaign (UFDC) and using the stress profile loads in these structural performance models.</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plan represents a collaboration among many stakeholders to define the path for acquiring the new data needed to determine the validity of the assumptions of previous work, validate future cask transport modeling methods that will be needed to evaluate the mechanical responses of irradiated fuel that will be transported in large transport casks, and inform material test campaigns on the anticipated range of stresses that will be imposed on nuclear fuel cladding. This work will include full-scale multimodal transport (heavy-haul truck, commercial ocean-going vessel (barge and ship), railcar) testing of a used nuclear fuel cask, cradle and surrogate fuel assemblies. The ultimate goal of this testing will be to close some of the existing knowledge gaps related to the mechanical loads that would be imposed on used fuel under normal conditions of transportation and inform the experiments and analysis.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work is sponsored by the DOE Office of Nuclear Energy, UFDC. The mission of the UFDC is to identify alternatives and conduct scientific research and technology development to enable storage, transportation, and disposal of used nuclear fuel and wastes generated by existing and future nuclear fuel cycles. The Storage and Transportation staff members within the UFDC are responsible for addressing issues regarding the extended or long-term storage of used nuclear fuel and its subsequent transportation.</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test also presents a unique opportunity to collaborate with a number of national laboratories and ENSA, an international company that supplies equipment and services for the nuclear industry. This work will:</w:t>
      </w:r>
    </w:p>
    <w:p>
      <w:pPr>
        <w:numPr>
          <w:ilvl w:val="0"/>
          <w:numId w:val="25"/>
        </w:numPr>
        <w:tabs>
          <w:tab w:val="left" w:pos="720" w:leader="none"/>
        </w:tabs>
        <w:spacing w:before="240" w:after="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Provide data for all transport modes </w:t>
      </w:r>
    </w:p>
    <w:p>
      <w:pPr>
        <w:numPr>
          <w:ilvl w:val="0"/>
          <w:numId w:val="25"/>
        </w:numPr>
        <w:tabs>
          <w:tab w:val="left" w:pos="1440" w:leader="none"/>
        </w:tabs>
        <w:spacing w:before="240" w:after="0" w:line="240"/>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Heavy-haul truck</w:t>
      </w:r>
    </w:p>
    <w:p>
      <w:pPr>
        <w:numPr>
          <w:ilvl w:val="0"/>
          <w:numId w:val="25"/>
        </w:numPr>
        <w:tabs>
          <w:tab w:val="left" w:pos="1440" w:leader="none"/>
        </w:tabs>
        <w:spacing w:before="240" w:after="0" w:line="240"/>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Coastal shipment (e.g., barge)</w:t>
      </w:r>
    </w:p>
    <w:p>
      <w:pPr>
        <w:numPr>
          <w:ilvl w:val="0"/>
          <w:numId w:val="25"/>
        </w:numPr>
        <w:tabs>
          <w:tab w:val="left" w:pos="1440" w:leader="none"/>
        </w:tabs>
        <w:spacing w:before="240" w:after="0" w:line="240"/>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Open ocean transport </w:t>
      </w:r>
    </w:p>
    <w:p>
      <w:pPr>
        <w:numPr>
          <w:ilvl w:val="0"/>
          <w:numId w:val="25"/>
        </w:numPr>
        <w:tabs>
          <w:tab w:val="left" w:pos="1440" w:leader="none"/>
        </w:tabs>
        <w:spacing w:before="240" w:after="0" w:line="240"/>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Normal rail</w:t>
      </w:r>
    </w:p>
    <w:p>
      <w:pPr>
        <w:numPr>
          <w:ilvl w:val="0"/>
          <w:numId w:val="25"/>
        </w:numPr>
        <w:tabs>
          <w:tab w:val="left" w:pos="1440" w:leader="none"/>
        </w:tabs>
        <w:spacing w:before="240" w:after="0" w:line="240"/>
        <w:ind w:right="0" w:left="14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Inter-modal transfers.</w:t>
      </w:r>
    </w:p>
    <w:p>
      <w:pPr>
        <w:numPr>
          <w:ilvl w:val="0"/>
          <w:numId w:val="25"/>
        </w:numPr>
        <w:tabs>
          <w:tab w:val="left" w:pos="720" w:leader="none"/>
        </w:tabs>
        <w:spacing w:before="240" w:after="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Add to the library of normal conditions of transportation for rail and truck loadings. These data will be used to benchmark our models, thus making it possible to analytically extend our assessments to many types of railcars and any other transport platforms.</w:t>
      </w:r>
    </w:p>
    <w:p>
      <w:pPr>
        <w:numPr>
          <w:ilvl w:val="0"/>
          <w:numId w:val="25"/>
        </w:numPr>
        <w:tabs>
          <w:tab w:val="left" w:pos="720" w:leader="none"/>
        </w:tabs>
        <w:spacing w:before="240" w:after="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Reduce uncertainty in the existing data by testing under more real-life conditions.</w:t>
      </w:r>
    </w:p>
    <w:p>
      <w:pPr>
        <w:numPr>
          <w:ilvl w:val="0"/>
          <w:numId w:val="25"/>
        </w:numPr>
        <w:tabs>
          <w:tab w:val="left" w:pos="720" w:leader="none"/>
        </w:tabs>
        <w:spacing w:before="240" w:after="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Support future licensing and transport of high burnup used nuclear fuel. </w:t>
      </w:r>
    </w:p>
    <w:p>
      <w:pPr>
        <w:numPr>
          <w:ilvl w:val="0"/>
          <w:numId w:val="25"/>
        </w:numPr>
        <w:tabs>
          <w:tab w:val="left" w:pos="720" w:leader="none"/>
        </w:tabs>
        <w:spacing w:before="240" w:after="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Remove many of the compromises inherent to the previous tests (e.g., surrogate mass for the cask).</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numPr>
          <w:ilvl w:val="0"/>
          <w:numId w:val="30"/>
        </w:numPr>
        <w:tabs>
          <w:tab w:val="left" w:pos="540" w:leader="none"/>
        </w:tabs>
        <w:spacing w:before="0" w:after="360" w:line="264"/>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FIGURES</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Figure 31.  PWR Fuel Assembly</w:t>
      </w:r>
      <w:r>
        <w:rPr>
          <w:rFonts w:ascii="Times New Roman" w:hAnsi="Times New Roman" w:cs="Times New Roman" w:eastAsia="Times New Roman"/>
          <w:color w:val="auto"/>
          <w:spacing w:val="0"/>
          <w:position w:val="0"/>
          <w:sz w:val="24"/>
          <w:shd w:fill="auto" w:val="clear"/>
        </w:rPr>
        <w:tab/>
        <w:t xml:space="preserve">5</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Figure 32.  SNL Surrogate Fuel Assembly</w:t>
      </w:r>
      <w:r>
        <w:rPr>
          <w:rFonts w:ascii="Times New Roman" w:hAnsi="Times New Roman" w:cs="Times New Roman" w:eastAsia="Times New Roman"/>
          <w:color w:val="auto"/>
          <w:spacing w:val="0"/>
          <w:position w:val="0"/>
          <w:sz w:val="24"/>
          <w:shd w:fill="auto" w:val="clear"/>
        </w:rPr>
        <w:tab/>
        <w:t xml:space="preserve">5</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Figure 41.  Impact Limiters on a Large Transportation Cask (Courtesy of ENSA)</w:t>
      </w:r>
      <w:r>
        <w:rPr>
          <w:rFonts w:ascii="Times New Roman" w:hAnsi="Times New Roman" w:cs="Times New Roman" w:eastAsia="Times New Roman"/>
          <w:color w:val="auto"/>
          <w:spacing w:val="0"/>
          <w:position w:val="0"/>
          <w:sz w:val="24"/>
          <w:shd w:fill="auto" w:val="clear"/>
        </w:rPr>
        <w:tab/>
        <w:t xml:space="preserve">9</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Figure 42.  Artist Illustration of ENSA ENUN 32P Cask (Courtesy of ENSA)</w:t>
      </w:r>
      <w:r>
        <w:rPr>
          <w:rFonts w:ascii="Times New Roman" w:hAnsi="Times New Roman" w:cs="Times New Roman" w:eastAsia="Times New Roman"/>
          <w:color w:val="auto"/>
          <w:spacing w:val="0"/>
          <w:position w:val="0"/>
          <w:sz w:val="24"/>
          <w:shd w:fill="auto" w:val="clear"/>
        </w:rPr>
        <w:tab/>
        <w:t xml:space="preserve">10</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Figure 51. Example of a Dummy Fuel Assembly</w:t>
      </w:r>
      <w:r>
        <w:rPr>
          <w:rFonts w:ascii="Times New Roman" w:hAnsi="Times New Roman" w:cs="Times New Roman" w:eastAsia="Times New Roman"/>
          <w:color w:val="auto"/>
          <w:spacing w:val="0"/>
          <w:position w:val="0"/>
          <w:sz w:val="24"/>
          <w:shd w:fill="auto" w:val="clear"/>
        </w:rPr>
        <w:tab/>
        <w:t xml:space="preserve">11</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Figure 61.  Example of Instrument Sensor Placements for Rail Shock and Vibration Testing</w:t>
      </w:r>
      <w:r>
        <w:rPr>
          <w:rFonts w:ascii="Times New Roman" w:hAnsi="Times New Roman" w:cs="Times New Roman" w:eastAsia="Times New Roman"/>
          <w:color w:val="auto"/>
          <w:spacing w:val="0"/>
          <w:position w:val="0"/>
          <w:sz w:val="24"/>
          <w:shd w:fill="auto" w:val="clear"/>
        </w:rPr>
        <w:tab/>
        <w:t xml:space="preserve">14</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Figure 81.  ENSA-DPT Dual Purpose Cask on Transport Cradle</w:t>
      </w:r>
      <w:r>
        <w:rPr>
          <w:rFonts w:ascii="Times New Roman" w:hAnsi="Times New Roman" w:cs="Times New Roman" w:eastAsia="Times New Roman"/>
          <w:color w:val="auto"/>
          <w:spacing w:val="0"/>
          <w:position w:val="0"/>
          <w:sz w:val="24"/>
          <w:shd w:fill="auto" w:val="clear"/>
        </w:rPr>
        <w:tab/>
        <w:t xml:space="preserve">19</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Figure 91.  The Route of the ENSA Cask Test Unit from Spain to Colorado</w:t>
      </w:r>
      <w:r>
        <w:rPr>
          <w:rFonts w:ascii="Times New Roman" w:hAnsi="Times New Roman" w:cs="Times New Roman" w:eastAsia="Times New Roman"/>
          <w:color w:val="auto"/>
          <w:spacing w:val="0"/>
          <w:position w:val="0"/>
          <w:sz w:val="24"/>
          <w:shd w:fill="auto" w:val="clear"/>
        </w:rPr>
        <w:tab/>
        <w:t xml:space="preserve">22</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Figure 92 </w:t>
      </w:r>
      <w:r>
        <w:rPr>
          <w:rFonts w:ascii="Times New Roman" w:hAnsi="Times New Roman" w:cs="Times New Roman" w:eastAsia="Times New Roman"/>
          <w:color w:val="0000FF"/>
          <w:spacing w:val="0"/>
          <w:position w:val="0"/>
          <w:sz w:val="24"/>
          <w:u w:val="single"/>
          <w:shd w:fill="auto" w:val="clear"/>
        </w:rPr>
        <w:t xml:space="preserve">–</w:t>
      </w:r>
      <w:r>
        <w:rPr>
          <w:rFonts w:ascii="Times New Roman" w:hAnsi="Times New Roman" w:cs="Times New Roman" w:eastAsia="Times New Roman"/>
          <w:color w:val="0000FF"/>
          <w:spacing w:val="0"/>
          <w:position w:val="0"/>
          <w:sz w:val="24"/>
          <w:u w:val="single"/>
          <w:shd w:fill="auto" w:val="clear"/>
        </w:rPr>
        <w:t xml:space="preserve"> Test Tracks at TTC</w:t>
      </w:r>
      <w:r>
        <w:rPr>
          <w:rFonts w:ascii="Times New Roman" w:hAnsi="Times New Roman" w:cs="Times New Roman" w:eastAsia="Times New Roman"/>
          <w:color w:val="auto"/>
          <w:spacing w:val="0"/>
          <w:position w:val="0"/>
          <w:sz w:val="24"/>
          <w:shd w:fill="auto" w:val="clear"/>
        </w:rPr>
        <w:tab/>
        <w:t xml:space="preserve">35</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Figure 93.  Sketch showing some of the tracks at the Pueblo Chemical Depot</w:t>
      </w:r>
      <w:r>
        <w:rPr>
          <w:rFonts w:ascii="Times New Roman" w:hAnsi="Times New Roman" w:cs="Times New Roman" w:eastAsia="Times New Roman"/>
          <w:color w:val="auto"/>
          <w:spacing w:val="0"/>
          <w:position w:val="0"/>
          <w:sz w:val="24"/>
          <w:shd w:fill="auto" w:val="clear"/>
        </w:rPr>
        <w:tab/>
        <w:t xml:space="preserve">37</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Figure 94. Twist and Roll test Zone</w:t>
      </w:r>
      <w:r>
        <w:rPr>
          <w:rFonts w:ascii="Times New Roman" w:hAnsi="Times New Roman" w:cs="Times New Roman" w:eastAsia="Times New Roman"/>
          <w:color w:val="auto"/>
          <w:spacing w:val="0"/>
          <w:position w:val="0"/>
          <w:sz w:val="24"/>
          <w:shd w:fill="auto" w:val="clear"/>
        </w:rPr>
        <w:tab/>
        <w:t xml:space="preserve">38</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Figure 95. Pitch and Bounce Test Zone</w:t>
      </w:r>
      <w:r>
        <w:rPr>
          <w:rFonts w:ascii="Times New Roman" w:hAnsi="Times New Roman" w:cs="Times New Roman" w:eastAsia="Times New Roman"/>
          <w:color w:val="auto"/>
          <w:spacing w:val="0"/>
          <w:position w:val="0"/>
          <w:sz w:val="24"/>
          <w:shd w:fill="auto" w:val="clear"/>
        </w:rPr>
        <w:tab/>
        <w:t xml:space="preserve">39</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Figure 96. Dynamic Curve Test Zone</w:t>
      </w:r>
      <w:r>
        <w:rPr>
          <w:rFonts w:ascii="Times New Roman" w:hAnsi="Times New Roman" w:cs="Times New Roman" w:eastAsia="Times New Roman"/>
          <w:color w:val="auto"/>
          <w:spacing w:val="0"/>
          <w:position w:val="0"/>
          <w:sz w:val="24"/>
          <w:shd w:fill="auto" w:val="clear"/>
        </w:rPr>
        <w:tab/>
        <w:t xml:space="preserve">39</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Figure 97.  Yaw and Sway test zone.</w:t>
      </w:r>
      <w:r>
        <w:rPr>
          <w:rFonts w:ascii="Times New Roman" w:hAnsi="Times New Roman" w:cs="Times New Roman" w:eastAsia="Times New Roman"/>
          <w:color w:val="auto"/>
          <w:spacing w:val="0"/>
          <w:position w:val="0"/>
          <w:sz w:val="24"/>
          <w:shd w:fill="auto" w:val="clear"/>
        </w:rPr>
        <w:tab/>
        <w:t xml:space="preserve">40</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Figure 98.  Test Train Make-Up</w:t>
      </w:r>
      <w:r>
        <w:rPr>
          <w:rFonts w:ascii="Times New Roman" w:hAnsi="Times New Roman" w:cs="Times New Roman" w:eastAsia="Times New Roman"/>
          <w:color w:val="auto"/>
          <w:spacing w:val="0"/>
          <w:position w:val="0"/>
          <w:sz w:val="24"/>
          <w:shd w:fill="auto" w:val="clear"/>
        </w:rPr>
        <w:tab/>
        <w:t xml:space="preserve">43</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numPr>
          <w:ilvl w:val="0"/>
          <w:numId w:val="33"/>
        </w:numPr>
        <w:tabs>
          <w:tab w:val="left" w:pos="540" w:leader="none"/>
        </w:tabs>
        <w:spacing w:before="0" w:after="360" w:line="264"/>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TABLES</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Table 61.  Simulation Analyses for the Rail Shock and Vibration Test Project</w:t>
      </w:r>
      <w:r>
        <w:rPr>
          <w:rFonts w:ascii="Times New Roman" w:hAnsi="Times New Roman" w:cs="Times New Roman" w:eastAsia="Times New Roman"/>
          <w:color w:val="auto"/>
          <w:spacing w:val="0"/>
          <w:position w:val="0"/>
          <w:sz w:val="24"/>
          <w:shd w:fill="auto" w:val="clear"/>
        </w:rPr>
        <w:tab/>
        <w:t xml:space="preserve">15</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Table 62.  Information Needed for Simulation Modeling</w:t>
      </w:r>
      <w:r>
        <w:rPr>
          <w:rFonts w:ascii="Times New Roman" w:hAnsi="Times New Roman" w:cs="Times New Roman" w:eastAsia="Times New Roman"/>
          <w:color w:val="auto"/>
          <w:spacing w:val="0"/>
          <w:position w:val="0"/>
          <w:sz w:val="24"/>
          <w:shd w:fill="auto" w:val="clear"/>
        </w:rPr>
        <w:tab/>
        <w:t xml:space="preserve">16</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Table 91.  Major Activities for Over-the-Road Transportation in Spain of the ENSA ENUN 32P Cask Test Unit</w:t>
      </w:r>
      <w:r>
        <w:rPr>
          <w:rFonts w:ascii="Times New Roman" w:hAnsi="Times New Roman" w:cs="Times New Roman" w:eastAsia="Times New Roman"/>
          <w:color w:val="auto"/>
          <w:spacing w:val="0"/>
          <w:position w:val="0"/>
          <w:sz w:val="24"/>
          <w:shd w:fill="auto" w:val="clear"/>
        </w:rPr>
        <w:tab/>
        <w:t xml:space="preserve">25</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Table 92.  Major Activities During European Coastal and Atlantic Ocean Transport of the ENSA ENUN 32P Cask Test Unit</w:t>
      </w:r>
      <w:r>
        <w:rPr>
          <w:rFonts w:ascii="Times New Roman" w:hAnsi="Times New Roman" w:cs="Times New Roman" w:eastAsia="Times New Roman"/>
          <w:color w:val="auto"/>
          <w:spacing w:val="0"/>
          <w:position w:val="0"/>
          <w:sz w:val="24"/>
          <w:shd w:fill="auto" w:val="clear"/>
        </w:rPr>
        <w:tab/>
        <w:t xml:space="preserve">27</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Table 93.  Major Activities at the Port of Baltimore to Prepare the ENSA ENUN 32P Cask Test Unit for Rail Shipment to TTCI</w:t>
      </w:r>
      <w:r>
        <w:rPr>
          <w:rFonts w:ascii="Times New Roman" w:hAnsi="Times New Roman" w:cs="Times New Roman" w:eastAsia="Times New Roman"/>
          <w:color w:val="auto"/>
          <w:spacing w:val="0"/>
          <w:position w:val="0"/>
          <w:sz w:val="24"/>
          <w:shd w:fill="auto" w:val="clear"/>
        </w:rPr>
        <w:tab/>
        <w:t xml:space="preserve">30</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Table 94.  Major Activities During the U.S. Cross-country Rail Transport of the ENSA ENUN 32P Cask Test Unit</w:t>
      </w:r>
      <w:r>
        <w:rPr>
          <w:rFonts w:ascii="Times New Roman" w:hAnsi="Times New Roman" w:cs="Times New Roman" w:eastAsia="Times New Roman"/>
          <w:color w:val="auto"/>
          <w:spacing w:val="0"/>
          <w:position w:val="0"/>
          <w:sz w:val="24"/>
          <w:shd w:fill="auto" w:val="clear"/>
        </w:rPr>
        <w:tab/>
        <w:t xml:space="preserve">34</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Table 95 </w:t>
      </w:r>
      <w:r>
        <w:rPr>
          <w:rFonts w:ascii="Times New Roman" w:hAnsi="Times New Roman" w:cs="Times New Roman" w:eastAsia="Times New Roman"/>
          <w:color w:val="0000FF"/>
          <w:spacing w:val="0"/>
          <w:position w:val="0"/>
          <w:sz w:val="24"/>
          <w:u w:val="single"/>
          <w:shd w:fill="auto" w:val="clear"/>
        </w:rPr>
        <w:t xml:space="preserve">–</w:t>
      </w:r>
      <w:r>
        <w:rPr>
          <w:rFonts w:ascii="Times New Roman" w:hAnsi="Times New Roman" w:cs="Times New Roman" w:eastAsia="Times New Roman"/>
          <w:color w:val="0000FF"/>
          <w:spacing w:val="0"/>
          <w:position w:val="0"/>
          <w:sz w:val="24"/>
          <w:u w:val="single"/>
          <w:shd w:fill="auto" w:val="clear"/>
        </w:rPr>
        <w:t xml:space="preserve"> Criteria for assessing testing requirements</w:t>
      </w:r>
      <w:r>
        <w:rPr>
          <w:rFonts w:ascii="Times New Roman" w:hAnsi="Times New Roman" w:cs="Times New Roman" w:eastAsia="Times New Roman"/>
          <w:color w:val="auto"/>
          <w:spacing w:val="0"/>
          <w:position w:val="0"/>
          <w:sz w:val="24"/>
          <w:shd w:fill="auto" w:val="clear"/>
        </w:rPr>
        <w:tab/>
        <w:t xml:space="preserve">42</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Table 96.  Measurement list for hunting tests</w:t>
      </w:r>
      <w:r>
        <w:rPr>
          <w:rFonts w:ascii="Times New Roman" w:hAnsi="Times New Roman" w:cs="Times New Roman" w:eastAsia="Times New Roman"/>
          <w:color w:val="auto"/>
          <w:spacing w:val="0"/>
          <w:position w:val="0"/>
          <w:sz w:val="24"/>
          <w:shd w:fill="auto" w:val="clear"/>
        </w:rPr>
        <w:tab/>
        <w:t xml:space="preserve">44</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Table 97.  Measurement list for instrumented wheel set testing</w:t>
      </w:r>
      <w:r>
        <w:rPr>
          <w:rFonts w:ascii="Times New Roman" w:hAnsi="Times New Roman" w:cs="Times New Roman" w:eastAsia="Times New Roman"/>
          <w:color w:val="auto"/>
          <w:spacing w:val="0"/>
          <w:position w:val="0"/>
          <w:sz w:val="24"/>
          <w:shd w:fill="auto" w:val="clear"/>
        </w:rPr>
        <w:tab/>
        <w:t xml:space="preserve">45</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Table 98.  Test Configuration</w:t>
      </w:r>
      <w:r>
        <w:rPr>
          <w:rFonts w:ascii="Times New Roman" w:hAnsi="Times New Roman" w:cs="Times New Roman" w:eastAsia="Times New Roman"/>
          <w:color w:val="auto"/>
          <w:spacing w:val="0"/>
          <w:position w:val="0"/>
          <w:sz w:val="24"/>
          <w:shd w:fill="auto" w:val="clear"/>
        </w:rPr>
        <w:tab/>
        <w:t xml:space="preserve">46</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Table 99. Crossing diamond test runs.</w:t>
      </w:r>
      <w:r>
        <w:rPr>
          <w:rFonts w:ascii="Times New Roman" w:hAnsi="Times New Roman" w:cs="Times New Roman" w:eastAsia="Times New Roman"/>
          <w:color w:val="auto"/>
          <w:spacing w:val="0"/>
          <w:position w:val="0"/>
          <w:sz w:val="24"/>
          <w:shd w:fill="auto" w:val="clear"/>
        </w:rPr>
        <w:tab/>
        <w:t xml:space="preserve">47</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Table 910. Hunting test runs.</w:t>
      </w:r>
      <w:r>
        <w:rPr>
          <w:rFonts w:ascii="Times New Roman" w:hAnsi="Times New Roman" w:cs="Times New Roman" w:eastAsia="Times New Roman"/>
          <w:color w:val="auto"/>
          <w:spacing w:val="0"/>
          <w:position w:val="0"/>
          <w:sz w:val="24"/>
          <w:shd w:fill="auto" w:val="clear"/>
        </w:rPr>
        <w:tab/>
        <w:t xml:space="preserve">48</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Table 911. Twist and roll test runs.</w:t>
      </w:r>
      <w:r>
        <w:rPr>
          <w:rFonts w:ascii="Times New Roman" w:hAnsi="Times New Roman" w:cs="Times New Roman" w:eastAsia="Times New Roman"/>
          <w:color w:val="auto"/>
          <w:spacing w:val="0"/>
          <w:position w:val="0"/>
          <w:sz w:val="24"/>
          <w:shd w:fill="auto" w:val="clear"/>
        </w:rPr>
        <w:tab/>
        <w:t xml:space="preserve">49</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Table 912. Pitch and bounce test runs.</w:t>
      </w:r>
      <w:r>
        <w:rPr>
          <w:rFonts w:ascii="Times New Roman" w:hAnsi="Times New Roman" w:cs="Times New Roman" w:eastAsia="Times New Roman"/>
          <w:color w:val="auto"/>
          <w:spacing w:val="0"/>
          <w:position w:val="0"/>
          <w:sz w:val="24"/>
          <w:shd w:fill="auto" w:val="clear"/>
        </w:rPr>
        <w:tab/>
        <w:t xml:space="preserve">50</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Table 913. Single bump test runs.</w:t>
      </w:r>
      <w:r>
        <w:rPr>
          <w:rFonts w:ascii="Times New Roman" w:hAnsi="Times New Roman" w:cs="Times New Roman" w:eastAsia="Times New Roman"/>
          <w:color w:val="auto"/>
          <w:spacing w:val="0"/>
          <w:position w:val="0"/>
          <w:sz w:val="24"/>
          <w:shd w:fill="auto" w:val="clear"/>
        </w:rPr>
        <w:tab/>
        <w:t xml:space="preserve">50</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Table 914. Loaded dynamic curving test runs.</w:t>
      </w:r>
      <w:r>
        <w:rPr>
          <w:rFonts w:ascii="Times New Roman" w:hAnsi="Times New Roman" w:cs="Times New Roman" w:eastAsia="Times New Roman"/>
          <w:color w:val="auto"/>
          <w:spacing w:val="0"/>
          <w:position w:val="0"/>
          <w:sz w:val="24"/>
          <w:shd w:fill="auto" w:val="clear"/>
        </w:rPr>
        <w:tab/>
        <w:t xml:space="preserve">52</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Table 915. List of runs at PCD</w:t>
      </w:r>
      <w:r>
        <w:rPr>
          <w:rFonts w:ascii="Times New Roman" w:hAnsi="Times New Roman" w:cs="Times New Roman" w:eastAsia="Times New Roman"/>
          <w:color w:val="auto"/>
          <w:spacing w:val="0"/>
          <w:position w:val="0"/>
          <w:sz w:val="24"/>
          <w:shd w:fill="auto" w:val="clear"/>
        </w:rPr>
        <w:tab/>
        <w:t xml:space="preserve">54</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Table 916.  Coupling Impact Test Matrix</w:t>
      </w:r>
      <w:r>
        <w:rPr>
          <w:rFonts w:ascii="Times New Roman" w:hAnsi="Times New Roman" w:cs="Times New Roman" w:eastAsia="Times New Roman"/>
          <w:color w:val="auto"/>
          <w:spacing w:val="0"/>
          <w:position w:val="0"/>
          <w:sz w:val="24"/>
          <w:shd w:fill="auto" w:val="clear"/>
        </w:rPr>
        <w:tab/>
        <w:t xml:space="preserve">55</w:t>
      </w:r>
    </w:p>
    <w:p>
      <w:pPr>
        <w:tabs>
          <w:tab w:val="right" w:pos="9350" w:leader="dot"/>
        </w:tabs>
        <w:spacing w:before="120" w:after="0" w:line="240"/>
        <w:ind w:right="720" w:left="900" w:hanging="9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FF"/>
          <w:spacing w:val="0"/>
          <w:position w:val="0"/>
          <w:sz w:val="24"/>
          <w:u w:val="single"/>
          <w:shd w:fill="auto" w:val="clear"/>
        </w:rPr>
        <w:t xml:space="preserve">Table 917.  Major Activities During Return Trip US Cross-Country Rail Transport of the ENSA ENUN 32P Cask Test Unit</w:t>
      </w:r>
      <w:r>
        <w:rPr>
          <w:rFonts w:ascii="Times New Roman" w:hAnsi="Times New Roman" w:cs="Times New Roman" w:eastAsia="Times New Roman"/>
          <w:color w:val="auto"/>
          <w:spacing w:val="0"/>
          <w:position w:val="0"/>
          <w:sz w:val="24"/>
          <w:shd w:fill="auto" w:val="clear"/>
        </w:rPr>
        <w:tab/>
        <w:t xml:space="preserve">57</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numPr>
          <w:ilvl w:val="0"/>
          <w:numId w:val="36"/>
        </w:numPr>
        <w:tabs>
          <w:tab w:val="left" w:pos="540" w:leader="none"/>
        </w:tabs>
        <w:spacing w:before="0" w:after="360" w:line="264"/>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 </w:t>
      </w:r>
    </w:p>
    <w:p>
      <w:pPr>
        <w:keepNext w:val="true"/>
        <w:numPr>
          <w:ilvl w:val="0"/>
          <w:numId w:val="36"/>
        </w:numPr>
        <w:tabs>
          <w:tab w:val="left" w:pos="540" w:leader="none"/>
        </w:tabs>
        <w:spacing w:before="0" w:after="360" w:line="264"/>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ACRONYMS</w:t>
      </w:r>
    </w:p>
    <w:p>
      <w:pPr>
        <w:spacing w:before="60" w:after="0" w:line="264"/>
        <w:ind w:right="0" w:left="2160" w:hanging="21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AAR</w:t>
        <w:tab/>
        <w:t xml:space="preserve">Association of American Railroads</w:t>
      </w:r>
    </w:p>
    <w:p>
      <w:pPr>
        <w:spacing w:before="60" w:after="0" w:line="264"/>
        <w:ind w:right="0" w:left="2160" w:hanging="21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BoM</w:t>
        <w:tab/>
        <w:t xml:space="preserve">bill of materials</w:t>
      </w:r>
    </w:p>
    <w:p>
      <w:pPr>
        <w:spacing w:before="60" w:after="0" w:line="264"/>
        <w:ind w:right="0" w:left="2160" w:hanging="21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BPA</w:t>
        <w:tab/>
        <w:t xml:space="preserve">borrow property agreement</w:t>
      </w:r>
    </w:p>
    <w:p>
      <w:pPr>
        <w:spacing w:before="60" w:after="0" w:line="264"/>
        <w:ind w:right="0" w:left="2160" w:hanging="21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DAC</w:t>
        <w:tab/>
        <w:t xml:space="preserve">data acquisition and control</w:t>
      </w:r>
    </w:p>
    <w:p>
      <w:pPr>
        <w:spacing w:before="60" w:after="0" w:line="264"/>
        <w:ind w:right="0" w:left="2160" w:hanging="21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DOE</w:t>
        <w:tab/>
        <w:t xml:space="preserve">U.S. Department of Energy</w:t>
      </w:r>
    </w:p>
    <w:p>
      <w:pPr>
        <w:spacing w:before="60" w:after="0" w:line="264"/>
        <w:ind w:right="0" w:left="2160" w:hanging="21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ENRESA</w:t>
        <w:tab/>
        <w:t xml:space="preserve">Empresa Nacional de Residuos Radioactivos SA (Spanish radioactive waste management agency)</w:t>
      </w:r>
    </w:p>
    <w:p>
      <w:pPr>
        <w:spacing w:before="60" w:after="0" w:line="264"/>
        <w:ind w:right="0" w:left="2160" w:hanging="21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ENSA</w:t>
        <w:tab/>
        <w:t xml:space="preserve">Equipos Nucleares S.A.</w:t>
      </w:r>
    </w:p>
    <w:p>
      <w:pPr>
        <w:spacing w:before="60" w:after="0" w:line="264"/>
        <w:ind w:right="0" w:left="2160" w:hanging="21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NCT</w:t>
        <w:tab/>
        <w:t xml:space="preserve">normal conditions of transport</w:t>
      </w:r>
    </w:p>
    <w:p>
      <w:pPr>
        <w:spacing w:before="60" w:after="0" w:line="264"/>
        <w:ind w:right="0" w:left="2160" w:hanging="21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NDA</w:t>
        <w:tab/>
        <w:t xml:space="preserve">nondisclosure agreement</w:t>
      </w:r>
    </w:p>
    <w:p>
      <w:pPr>
        <w:spacing w:before="60" w:after="0" w:line="264"/>
        <w:ind w:right="0" w:left="2160" w:hanging="21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OTLR</w:t>
        <w:tab/>
        <w:t xml:space="preserve">AAR Open Top Loading Rules</w:t>
      </w:r>
    </w:p>
    <w:p>
      <w:pPr>
        <w:spacing w:before="60" w:after="0" w:line="264"/>
        <w:ind w:right="0" w:left="2160" w:hanging="21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PNNL</w:t>
        <w:tab/>
        <w:t xml:space="preserve">Pacific Northwest National Laboratory</w:t>
      </w:r>
    </w:p>
    <w:p>
      <w:pPr>
        <w:spacing w:before="60" w:after="0" w:line="264"/>
        <w:ind w:right="0" w:left="2160" w:hanging="21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PWR</w:t>
        <w:tab/>
        <w:t xml:space="preserve">pressurized water reactor</w:t>
      </w:r>
    </w:p>
    <w:p>
      <w:pPr>
        <w:spacing w:before="60" w:after="0" w:line="264"/>
        <w:ind w:right="0" w:left="2160" w:hanging="21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RO/RO</w:t>
        <w:tab/>
        <w:t xml:space="preserve">roll-on/roll-off</w:t>
      </w:r>
    </w:p>
    <w:p>
      <w:pPr>
        <w:spacing w:before="60" w:after="0" w:line="264"/>
        <w:ind w:right="0" w:left="2160" w:hanging="21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SNL </w:t>
        <w:tab/>
        <w:t xml:space="preserve">Sandia National Laboratories</w:t>
      </w:r>
    </w:p>
    <w:p>
      <w:pPr>
        <w:spacing w:before="60" w:after="0" w:line="264"/>
        <w:ind w:right="0" w:left="2160" w:hanging="21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SRNL</w:t>
        <w:tab/>
        <w:t xml:space="preserve">Savannah River National Laboratory</w:t>
      </w:r>
    </w:p>
    <w:p>
      <w:pPr>
        <w:spacing w:before="60" w:after="0" w:line="264"/>
        <w:ind w:right="0" w:left="2160" w:hanging="21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TBD</w:t>
        <w:tab/>
        <w:t xml:space="preserve">to be determined</w:t>
      </w:r>
    </w:p>
    <w:p>
      <w:pPr>
        <w:spacing w:before="60" w:after="0" w:line="264"/>
        <w:ind w:right="0" w:left="2160" w:hanging="21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TBV</w:t>
        <w:tab/>
        <w:t xml:space="preserve">to be verified</w:t>
      </w:r>
    </w:p>
    <w:p>
      <w:pPr>
        <w:spacing w:before="60" w:after="0" w:line="264"/>
        <w:ind w:right="0" w:left="2160" w:hanging="21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TTCI</w:t>
        <w:tab/>
        <w:t xml:space="preserve">Transportation Technology Center, Inc.</w:t>
      </w:r>
    </w:p>
    <w:p>
      <w:pPr>
        <w:spacing w:before="60" w:after="0" w:line="264"/>
        <w:ind w:right="0" w:left="2160" w:hanging="21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UFDC</w:t>
        <w:tab/>
        <w:t xml:space="preserve">Used Fuel Disposition Campaign</w:t>
      </w:r>
    </w:p>
    <w:p>
      <w:pPr>
        <w:spacing w:before="60" w:after="0" w:line="264"/>
        <w:ind w:right="0" w:left="2160" w:hanging="21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UNF</w:t>
        <w:tab/>
        <w:t xml:space="preserve">used nuclear fuel</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120" w:after="0" w:line="240"/>
        <w:ind w:right="0" w:left="0" w:firstLine="0"/>
        <w:jc w:val="left"/>
        <w:rPr>
          <w:rFonts w:ascii="Arial" w:hAnsi="Arial" w:cs="Arial" w:eastAsia="Arial"/>
          <w:b/>
          <w:i/>
          <w:caps w:val="true"/>
          <w:color w:val="auto"/>
          <w:spacing w:val="0"/>
          <w:position w:val="0"/>
          <w:sz w:val="48"/>
          <w:shd w:fill="auto" w:val="clear"/>
        </w:rPr>
      </w:pPr>
    </w:p>
    <w:p>
      <w:pPr>
        <w:tabs>
          <w:tab w:val="left" w:pos="360" w:leader="none"/>
          <w:tab w:val="left" w:pos="720" w:leader="none"/>
          <w:tab w:val="left" w:pos="1080" w:leader="none"/>
        </w:tabs>
        <w:spacing w:before="120" w:after="0" w:line="240"/>
        <w:ind w:right="0" w:left="0" w:firstLine="0"/>
        <w:jc w:val="center"/>
        <w:rPr>
          <w:rFonts w:ascii="Arial" w:hAnsi="Arial" w:cs="Arial" w:eastAsia="Arial"/>
          <w:b/>
          <w:caps w:val="true"/>
          <w:color w:val="auto"/>
          <w:spacing w:val="0"/>
          <w:position w:val="0"/>
          <w:sz w:val="36"/>
          <w:shd w:fill="auto" w:val="clear"/>
        </w:rPr>
      </w:pPr>
      <w:r>
        <w:rPr>
          <w:rFonts w:ascii="Arial" w:hAnsi="Arial" w:cs="Arial" w:eastAsia="Arial"/>
          <w:b/>
          <w:caps w:val="true"/>
          <w:color w:val="auto"/>
          <w:spacing w:val="0"/>
          <w:position w:val="0"/>
          <w:sz w:val="36"/>
          <w:shd w:fill="auto" w:val="clear"/>
        </w:rPr>
        <w:br/>
      </w:r>
    </w:p>
    <w:p>
      <w:pPr>
        <w:keepNext w:val="true"/>
        <w:numPr>
          <w:ilvl w:val="0"/>
          <w:numId w:val="41"/>
        </w:numPr>
        <w:tabs>
          <w:tab w:val="left" w:pos="540" w:leader="none"/>
        </w:tabs>
        <w:spacing w:before="0" w:after="360" w:line="240"/>
        <w:ind w:right="0" w:left="0" w:firstLine="0"/>
        <w:jc w:val="left"/>
        <w:rPr>
          <w:rFonts w:ascii="Arial" w:hAnsi="Arial" w:cs="Arial" w:eastAsia="Arial"/>
          <w:b/>
          <w:caps w:val="true"/>
          <w:color w:val="auto"/>
          <w:spacing w:val="0"/>
          <w:position w:val="0"/>
          <w:sz w:val="28"/>
          <w:shd w:fill="auto" w:val="clear"/>
        </w:rPr>
      </w:pPr>
      <w:r>
        <w:rPr>
          <w:rFonts w:ascii="Arial" w:hAnsi="Arial" w:cs="Arial" w:eastAsia="Arial"/>
          <w:b/>
          <w:caps w:val="true"/>
          <w:color w:val="auto"/>
          <w:spacing w:val="0"/>
          <w:position w:val="0"/>
          <w:sz w:val="28"/>
          <w:shd w:fill="auto" w:val="clear"/>
        </w:rPr>
        <w:t xml:space="preserve">Introduction</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report discusses the details of the transport cask testing planned for FY 2017 using the Equipos Nucleares S.A. (ENSA) ENUN-32P cask. Appendix A presents a detailed integrated schedule for the project execution.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These tests present a unique opportunity to collect shock and vibration data for surrogate used fuel assemblies in a full-scale transportation cask. The data will be collected for four different modes of transportation (heavy-haul truck, barge, ship, and rail) and for intermodal transfer. The combination of these modes of transportation and handling will allow an understanding of the cumulative effects of transportation and handling of high burnup used nuclear fuel and allow the collection of data necessary for closing the Stress Profiles technical data gap as identified in Hanson et al. (2012).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Gap closure with respect to stresses associated with cask movement and normal conditions of transport will be accomplished by measuring and quantifying the mechanical loads (e.g., strains and accelerations) on various components, but especially on the surrogate fuel assembly. This information will guide materials research and establish a technical basis for review organizations such as the U.S. Nuclear Regulatory Commission. While limited experimental and numerical modeling data of loads and failure limits applicable to normal conditions of rail transport exist, the data are either outdated relative to present-day railroad operations and equipment, or are based on assumptions that can only be verified through experimental testing. Structural performance models using the material properties of the cask and assembly components used in this testing program will be validated by comparing against the stress profile data. The performance of different containment and conveyance systems and actual spent fuel assemblies can then be modeled with confidence by substituting the material properties obtained in other testing performed by the Used Fuel Disposition Campaign (UFDC) and using the stress profile loads in these structural performance models.</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Data from these rail shock and vibration tests will be important to the U.S. nuclear power industry, the U.S. Nuclear Regulatory Commission, to the U.S. Department of Energy (DOE), as well as for the worldwide nuclear industry. These types of tests will provide information to regulators regarding shock and vibration loads during normal conditions of transportation including movements associated with dry storage operations in the 21</w:t>
      </w:r>
      <w:r>
        <w:rPr>
          <w:rFonts w:ascii="Times New Roman" w:hAnsi="Times New Roman" w:cs="Times New Roman" w:eastAsia="Times New Roman"/>
          <w:color w:val="auto"/>
          <w:spacing w:val="0"/>
          <w:position w:val="0"/>
          <w:sz w:val="24"/>
          <w:shd w:fill="auto" w:val="clear"/>
          <w:vertAlign w:val="superscript"/>
        </w:rPr>
        <w:t xml:space="preserve">st</w:t>
      </w:r>
      <w:r>
        <w:rPr>
          <w:rFonts w:ascii="Times New Roman" w:hAnsi="Times New Roman" w:cs="Times New Roman" w:eastAsia="Times New Roman"/>
          <w:color w:val="auto"/>
          <w:spacing w:val="0"/>
          <w:position w:val="0"/>
          <w:sz w:val="24"/>
          <w:shd w:fill="auto" w:val="clear"/>
        </w:rPr>
        <w:t xml:space="preserve"> century. The results will ensure that used fuel can be handled safely</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considering aging of used nuclear fuel placed in dry storage and the ability to safely transport large amounts of used nuclear fuel to an off-site destination. The data will also confirm and validate models to provide confidence in assurances of the robustness of used nuclear fuel properties for extended storage periods and for potentially multiple transport and handling activities.</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data from these transport shock and vibration tests can be used to support predictive modeling and simulation of (high or low burnup) used fuel performance under conditions of normal transportation. The simulation results will then be supported by observations of the condition of high-burnup used nuclear fuel at the end of the Electric Power Research Institute/DOE High Burnup Confirmatory Demonstration Project, when the demonstration cask is opened, the fuel recovered, and the aged (and transported) fuel rods are characterized. All of these data can be used by industry in support of their extended dry storage licensing strategies and to support certification of transportation casks for shipping high-burnup and long-cooled used nuclear fuel.</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numPr>
          <w:ilvl w:val="0"/>
          <w:numId w:val="44"/>
        </w:numPr>
        <w:tabs>
          <w:tab w:val="left" w:pos="540" w:leader="none"/>
        </w:tabs>
        <w:spacing w:before="0" w:after="360" w:line="240"/>
        <w:ind w:right="0" w:left="0" w:firstLine="0"/>
        <w:jc w:val="left"/>
        <w:rPr>
          <w:rFonts w:ascii="Arial" w:hAnsi="Arial" w:cs="Arial" w:eastAsia="Arial"/>
          <w:b/>
          <w:caps w:val="true"/>
          <w:color w:val="auto"/>
          <w:spacing w:val="0"/>
          <w:position w:val="0"/>
          <w:sz w:val="28"/>
          <w:shd w:fill="auto" w:val="clear"/>
        </w:rPr>
      </w:pPr>
      <w:r>
        <w:rPr>
          <w:rFonts w:ascii="Arial" w:hAnsi="Arial" w:cs="Arial" w:eastAsia="Arial"/>
          <w:b/>
          <w:caps w:val="true"/>
          <w:color w:val="auto"/>
          <w:spacing w:val="0"/>
          <w:position w:val="0"/>
          <w:sz w:val="28"/>
          <w:shd w:fill="auto" w:val="clear"/>
        </w:rPr>
        <w:t xml:space="preserve">ENSA/DOE Transport cask testing Key Project agreements</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ENSA/DOE transport cask testing involves the coordination of three national laboratories, ENSA (nuclear equipment global supplier), an international shipping company (COORDINADORA), Association of American Railroads (AAR) Transportation Technology Center, Inc. (TTCI), U.S. railroads, and other entities. The Rail Cask Shock and Vibration Test Project (the Project) using the ENSA ENUN 32P cask will involve international movement and operation of high-value advanced technology equipment and will also involve use of commercial technologies that are proprietary. Because of the project scope, international and commercial agreements that are required by the laws of the involved countries (the United States and Spain) and the commercial interests of private corporations (e.g., ENSA and Westinghouse) must be established.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Establishing these key agreements (nondisclosure agreements [NDA] and borrowed property agreement [BPA]) among the parties involved or having legal, commercial, or contractual interests involved in implementing and executing the Project is a major task. This Key Project Agreements task is the first step of the Project.</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ENSA will enter an agreement with a private corporation specializing in international transportation logistics and freight forwarding to accomplish the following:</w:t>
      </w:r>
    </w:p>
    <w:p>
      <w:pPr>
        <w:numPr>
          <w:ilvl w:val="0"/>
          <w:numId w:val="47"/>
        </w:numPr>
        <w:tabs>
          <w:tab w:val="left" w:pos="720" w:leader="none"/>
          <w:tab w:val="left" w:pos="1080" w:leader="none"/>
        </w:tabs>
        <w:spacing w:before="120" w:after="0" w:line="240"/>
        <w:ind w:right="0" w:left="360" w:hanging="216"/>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Transload the ENSA ENUN 32P cask test unit onto a heavy-haul truck arranged by the freight forwarding company. </w:t>
      </w:r>
    </w:p>
    <w:p>
      <w:pPr>
        <w:numPr>
          <w:ilvl w:val="0"/>
          <w:numId w:val="47"/>
        </w:numPr>
        <w:tabs>
          <w:tab w:val="left" w:pos="720" w:leader="none"/>
          <w:tab w:val="left" w:pos="1080" w:leader="none"/>
        </w:tabs>
        <w:spacing w:before="120" w:after="0" w:line="240"/>
        <w:ind w:right="0" w:left="360" w:hanging="216"/>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Round-trip heavy-haul road transport of the ENSA ENUN 32P cask test unit from its facility in Maliaño (Cantabria), Spain, to a selected destination in Spain.</w:t>
      </w:r>
    </w:p>
    <w:p>
      <w:pPr>
        <w:numPr>
          <w:ilvl w:val="0"/>
          <w:numId w:val="47"/>
        </w:numPr>
        <w:tabs>
          <w:tab w:val="left" w:pos="720" w:leader="none"/>
          <w:tab w:val="left" w:pos="1080" w:leader="none"/>
        </w:tabs>
        <w:spacing w:before="120" w:after="0" w:line="240"/>
        <w:ind w:right="0" w:left="360" w:hanging="216"/>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Transload the ENSA ENUN 32P cask test unit onto a roll-on/roll-off (RO/RO) ship at the Port of Santander, Spain for European coastal shipment to the Port of Zeebrugge, Belgium (to be verified, TBV) then from Zeebrugge by ocean cargo ship to Baltimore, Maryland, United States.</w:t>
      </w:r>
    </w:p>
    <w:p>
      <w:pPr>
        <w:numPr>
          <w:ilvl w:val="0"/>
          <w:numId w:val="47"/>
        </w:numPr>
        <w:tabs>
          <w:tab w:val="left" w:pos="720" w:leader="none"/>
          <w:tab w:val="left" w:pos="1080" w:leader="none"/>
        </w:tabs>
        <w:spacing w:before="120" w:after="0" w:line="240"/>
        <w:ind w:right="0" w:left="360" w:hanging="216"/>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Transload the ENSA ENUN 32P cask test unit from the ocean cargo ship at the Port of Baltimore to a heavy-duty railcar (a flatcar) for cross-country shipment by railroad to TTCI located near Pueblo, Colorado (via BNSF Avondale yard). The specific railcar to be used by the shipper must be identified early in the project. The railcar will be used to support modeling analysis including testing and analysis decisions at TTCI in Pueblo, Colorado.  </w:t>
      </w:r>
    </w:p>
    <w:p>
      <w:pPr>
        <w:numPr>
          <w:ilvl w:val="0"/>
          <w:numId w:val="47"/>
        </w:numPr>
        <w:tabs>
          <w:tab w:val="left" w:pos="720" w:leader="none"/>
          <w:tab w:val="left" w:pos="1080" w:leader="none"/>
        </w:tabs>
        <w:spacing w:before="120" w:after="0" w:line="240"/>
        <w:ind w:right="0" w:left="360" w:hanging="216"/>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Return shipment of the ENSA ENUN 32P cask test unit by railroad from Pueblo, Colorado (BNSF Avondale yard) to a U.S. port, and then by ocean cargo ship/barge, with ultimate return to the ENSA facility in Maliaño (Cantabria), Spain.</w:t>
      </w:r>
    </w:p>
    <w:p>
      <w:pPr>
        <w:keepNext w:val="true"/>
        <w:numPr>
          <w:ilvl w:val="0"/>
          <w:numId w:val="47"/>
        </w:numPr>
        <w:tabs>
          <w:tab w:val="left" w:pos="540" w:leader="none"/>
        </w:tabs>
        <w:spacing w:before="360" w:after="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ENSA and the U.S. Parties Agreements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parties involved in the Project</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ENSA, Sandia National Laboratories (SNL), Pacific Northwest National Laboratory (PNNL), Savannah River National Laboratory (SRNL), TTCI, and contractors</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agree that the above described international transportation logistics will be arranged with all insurances, fees, permits, clearances, inspections, and approvals paid or obtained solely through the offices of ENSA and its freight forwarding/logistics coordinator. Specific details concerning cost sharing between ENSA and DOE will be coordinated separately.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It shall be the responsibility of ENSA to obtain any required license from Empresa Nacional de Residuos Radioactivos SA (ENRESA, the Spanish radioactive waste management agency) for the export of the ENSA ENUN 32P cask, the surrogate assembly, and its associated ancillary equipment from Spain. ENSA shall also actively participate with the U.S. parties, as appropriate and necessary, to coordinate import/export arrangements with Spanish authorities for the import and export of shock/vibration/motion/position sensor instruments, dummy and surrogate pressurized water reactor (PWR) nuclear fuel assemblies, the SAV-EM satellite communication system, the data acquisition system and associated instrument leads and connectors, and battery power supply batteries and associated power supply components.</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U.S. parties involved in the Project will enter an NDA with ENSA to protect intellectual property of ENSA such as the design of the ENSA ENUN 32P cask and any associated design or commercial information identified by ENSA to be proprietary.</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SNL will complete a Westinghouse Export Control Agreement for shipment of the SNL surrogate PWR fuel assembly to Spain. This agreement provides for a chain of custody for the SNL surrogate PWR test assembly and for ensured return of the assembly to SNL following its removal from the ENSA ENUN 32P cask basket at the ENSA facility in Spain, after the cask has been returned.</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ENSA and SNL will execute a BPA for use of the ENSA ENUN 32P cask, ENRESA surrogate PWR assembly, and associated equipment in tests to be conducted in the United States by or for the benefit of the Project. This BPA allows the Project to use the ENSA ENUN 32P cask, its ancillary equipment, and an additional surrogate fuel assembly to conduct the tests described in this report.</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SNL will arrange for property damage and loss-of-use insurance to compensate ENSA in the event of damage to the ENSA ENUN 32P cask body, ancillary equipment, or surrogate fuel assembly during the shock and vibration tests conducted at the TTCI facility in Pueblo, Colorado.</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SNL or PNNL will enter into contract with the AAR TTCI for the technical consulting services of TTCI staff to support the conduct of tests for the ENSA/DOE shock and vibration testing program, and the conduct of captive rail tests at the TTCI facilities near Pueblo, Colorado.  </w:t>
      </w:r>
    </w:p>
    <w:p>
      <w:pPr>
        <w:keepNext w:val="true"/>
        <w:numPr>
          <w:ilvl w:val="0"/>
          <w:numId w:val="50"/>
        </w:numPr>
        <w:tabs>
          <w:tab w:val="left" w:pos="540" w:leader="none"/>
        </w:tabs>
        <w:spacing w:before="0" w:after="360" w:line="240"/>
        <w:ind w:right="0" w:left="0" w:firstLine="0"/>
        <w:jc w:val="left"/>
        <w:rPr>
          <w:rFonts w:ascii="Arial" w:hAnsi="Arial" w:cs="Arial" w:eastAsia="Arial"/>
          <w:b/>
          <w:caps w:val="true"/>
          <w:color w:val="auto"/>
          <w:spacing w:val="0"/>
          <w:position w:val="0"/>
          <w:sz w:val="28"/>
          <w:shd w:fill="auto" w:val="clear"/>
        </w:rPr>
      </w:pPr>
      <w:r>
        <w:rPr>
          <w:rFonts w:ascii="Arial" w:hAnsi="Arial" w:cs="Arial" w:eastAsia="Arial"/>
          <w:b/>
          <w:caps w:val="true"/>
          <w:color w:val="auto"/>
          <w:spacing w:val="0"/>
          <w:position w:val="0"/>
          <w:sz w:val="28"/>
          <w:shd w:fill="auto" w:val="clear"/>
        </w:rPr>
        <w:t xml:space="preserve">Instrumentation of Surrogate Assemblies</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Surrogate PWR fuel assemblies (Figures 3-1 and 3-2) that simulate the mechanical and structural dynamics characteristics of irradiated commercial spent nuclear fuel assemblies, will be used to measure the response of spent nuclear fuel (as simulated) to normal multimodal transport shock and vibration when transported in a state-of-the-art large transportation cask.</w:t>
      </w:r>
    </w:p>
    <w:p>
      <w:pPr>
        <w:keepNext w:val="true"/>
        <w:tabs>
          <w:tab w:val="left" w:pos="360" w:leader="none"/>
          <w:tab w:val="left" w:pos="720" w:leader="none"/>
          <w:tab w:val="left" w:pos="1080" w:leader="none"/>
        </w:tabs>
        <w:spacing w:before="24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object w:dxaOrig="5147" w:dyaOrig="4127">
          <v:rect xmlns:o="urn:schemas-microsoft-com:office:office" xmlns:v="urn:schemas-microsoft-com:vml" id="rectole0000000000" style="width:257.350000pt;height:206.3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tabs>
          <w:tab w:val="left" w:pos="360" w:leader="none"/>
          <w:tab w:val="left" w:pos="720" w:leader="none"/>
          <w:tab w:val="left" w:pos="1080" w:leader="none"/>
        </w:tabs>
        <w:spacing w:before="12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Figure .  PWR Fuel Assembly</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keepNext w:val="true"/>
        <w:tabs>
          <w:tab w:val="left" w:pos="360" w:leader="none"/>
          <w:tab w:val="left" w:pos="720" w:leader="none"/>
          <w:tab w:val="left" w:pos="1080" w:leader="none"/>
        </w:tabs>
        <w:spacing w:before="240" w:after="0" w:line="240"/>
        <w:ind w:right="0" w:left="0" w:firstLine="0"/>
        <w:jc w:val="center"/>
        <w:rPr>
          <w:rFonts w:ascii="Times New Roman" w:hAnsi="Times New Roman" w:cs="Times New Roman" w:eastAsia="Times New Roman"/>
          <w:color w:val="auto"/>
          <w:spacing w:val="0"/>
          <w:position w:val="0"/>
          <w:sz w:val="22"/>
          <w:shd w:fill="auto" w:val="clear"/>
        </w:rPr>
      </w:pPr>
      <w:r>
        <w:object w:dxaOrig="2880" w:dyaOrig="3836">
          <v:rect xmlns:o="urn:schemas-microsoft-com:office:office" xmlns:v="urn:schemas-microsoft-com:vml" id="rectole0000000001" style="width:144.000000pt;height:191.8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tabs>
          <w:tab w:val="left" w:pos="360" w:leader="none"/>
          <w:tab w:val="left" w:pos="720" w:leader="none"/>
          <w:tab w:val="left" w:pos="1080" w:leader="none"/>
        </w:tabs>
        <w:spacing w:before="12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Figure .  SNL Surrogate Fuel Assembly</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Two surrogate PWR fuel assemblies will be used in the Project’s tests to provide shock and vibration response data representative of responses that would be expected for spent nuclear fuel being transported by road, sea, and rail in large transportation casks. The SNL surrogate assembly is a typical Westinghouse PWR 17x17 surrogate fuel assembly. The surrogate fuel assembly has 253 copper tubes filled with lead rope. The copper tubes are not instrumented, but there are three Zircaloy tubes that are instrumented. The core of the Zircaloy clad tubes in the SNL assembly will be varied, with different fuel representations used in different rods to evaluate the effect on cladding response. One tube contains lead rope, the second has lead pellets, and the third has molybdenum pellets. The use of epoxy  along the full length of a rod containing one of the pellet types to simulate fuel-to -cladding bonding is being considered. Also, doubly relaxed grid springs in one Zircaloy rod location (to have one rod that represents a bounding grid relaxation case) is being evaluated. The ENRESA assembly will have the same dimensions as the SNL surrogate; however, all rods will be ZIRLO</w:t>
      </w:r>
      <w:r>
        <w:rPr>
          <w:rFonts w:ascii="Times New Roman" w:hAnsi="Times New Roman" w:cs="Times New Roman" w:eastAsia="Times New Roman"/>
          <w:color w:val="auto"/>
          <w:spacing w:val="0"/>
          <w:position w:val="0"/>
          <w:sz w:val="24"/>
          <w:shd w:fill="auto" w:val="clear"/>
          <w:vertAlign w:val="superscript"/>
        </w:rPr>
        <w:t xml:space="preserve">®</w:t>
      </w:r>
      <w:r>
        <w:rPr>
          <w:rFonts w:ascii="Times New Roman" w:hAnsi="Times New Roman" w:cs="Times New Roman" w:eastAsia="Times New Roman"/>
          <w:color w:val="auto"/>
          <w:spacing w:val="0"/>
          <w:position w:val="0"/>
          <w:sz w:val="24"/>
          <w:shd w:fill="auto" w:val="clear"/>
        </w:rPr>
        <w:t xml:space="preserve"> cladding and contain lead pellets.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instrumented fuel assemblies will provide key technical information about the loading environment the fuel can be expected to experience during normal conditions of transport. Although strain and accelerometer data have been obtained previously using shaker table (McConnell 2015) and truck (DOE 2014) testing, this test will obtain the data under actual transport conditions using a licensed cask.  This integrated test provides the opportunity to evaluate the transmissibility of loads from one component to another (i.e., wheels to bed to cradle to trunions to cask to basket to assembly to rods). The test conditions will simulate the loads transmitted to the fuel assemblies as authentically as is possible, and numerical modeling will be used to account for any departure from realistic used nuclear fuel (UNF) transportation configurations or structural dynamic behavior.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Strain gages and accelerometers will record the fuel assembly dynamic response throughout the test campaign. Strain gages attached to the cladding at a number of locations will record the local strains of the fuel cladding. The cladding to be used in the surrogate assemblies is correct as-manufactured commercial fuel cladding material, but it will not be in the same state of temperature or irradiation as actual UNF, and the surrogate fuel material at the fuel rod’s core will also be an approximation. Realistic bonding between UNF and cladding is known to affect fuel rod mechanical behavior, as previously demonstrated by the cyclic integrated reversible-bending fatigue tester (CIRFT). In theory, this could have a significant effect on the way real UNF responds to dynamic loads by potentially doubling or tripling the flexural rigidity of the fuel rods. However, previous experience with dynamic fuel assembly testing and numerical modeling to quantify the effect of cladding-to-fuel bonding has demonstrated that the cladding strains recorded from the test assembly offer a good estimate of the strains to be expected in real UNF cladding. The ability of the surrogate fuel assembly to estimate real UNF cladding strains is likely because shock and vibration during normal conditions of transport has a relatively low magnitude. Thus, significant changes in flexural rigidity do not correlate with significant changes in cladding strain.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Post-testing numerical modeling will be used to determine how the cladding strains recorded during this test campaign relate to strains predicted to occur to real UNF under realistic UNF conditions. Numerical models will be validated in the as-tested configuration, then the models will be adjusted to account for the as-expected UNF configuration to determine the relationship between as-tested and as-expected UNF cladding loads and strains. If the loading environment proves to be benign as suspected, the test strains will be representative of real UNF.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biggest uncertainty in this test campaign is the realistic loading environment </w:t>
      </w:r>
      <w:r>
        <w:rPr>
          <w:rFonts w:ascii="Times New Roman" w:hAnsi="Times New Roman" w:cs="Times New Roman" w:eastAsia="Times New Roman"/>
          <w:i/>
          <w:color w:val="auto"/>
          <w:spacing w:val="0"/>
          <w:position w:val="0"/>
          <w:sz w:val="24"/>
          <w:shd w:fill="auto" w:val="clear"/>
        </w:rPr>
        <w:t xml:space="preserve">at the fuel assembly level</w:t>
      </w:r>
      <w:r>
        <w:rPr>
          <w:rFonts w:ascii="Times New Roman" w:hAnsi="Times New Roman" w:cs="Times New Roman" w:eastAsia="Times New Roman"/>
          <w:color w:val="auto"/>
          <w:spacing w:val="0"/>
          <w:position w:val="0"/>
          <w:sz w:val="24"/>
          <w:shd w:fill="auto" w:val="clear"/>
        </w:rPr>
        <w:t xml:space="preserve"> under normal conditions of transport (NCT) rail conditions, and verifying how loads are transmitted from one component to the other. This test campaign will collect accelerometer data at sufficient locations throughout the cradle and package system to validate the numerical models and provide the confidence that the loading conditions the fuel assembly is subjected to during NCT are quantified and understood.</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second important uncertainty is the material mechanical properties and failure limits of real, high burnup UNF. Sister rod testing will provide additional information about UNF properties, including the flexural rigidity of real high burnup UNF, which can have an effect on the projected response of real UNF subjected to rail NCT loads. This test campaign will provide one of the big missing pieces to address the stress profiles technical gap, but materials testing of real UNF will provide the necessary next big piece of information to close the stress profiles technical gap.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rods and instrument locations will be aided by prior tests conducted by SNL (DOE 2014) and by practical limitations of accessibility. Axial strain gages will be installed on the cladding at three positions around a rod circumference, at 0</w:t>
      </w:r>
      <w:r>
        <w:rPr>
          <w:rFonts w:ascii="Arial" w:hAnsi="Arial" w:cs="Arial" w:eastAsia="Aria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90</w:t>
      </w:r>
      <w:r>
        <w:rPr>
          <w:rFonts w:ascii="Arial" w:hAnsi="Arial" w:cs="Arial" w:eastAsia="Aria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and 225</w:t>
      </w:r>
      <w:r>
        <w:rPr>
          <w:rFonts w:ascii="Arial" w:hAnsi="Arial" w:cs="Arial" w:eastAsia="Aria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Using these particular angles ensures that vertical, lateral, and off-angle bending of the fuel rod cladding is adequately recorded, but it does take up three data channels for every location. Accelerometers on the fuel assembly will provide further model validation data. The number of data channels is limited by the data acquisition system, so the numerical models of the full fuel assembly will be validated against the available data and will extrapolate the fuel assembly response at other locations away from the instrument data.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data of greatest interest will be the dynamic responses (accelerations and deflections) of individual fuel rods within the fuel assemblies and the resulting stresses and strains that occur in the fuel-rod cladding. Sensor instruments, accelerometers, and strain gauges will be attached to selected rods at selected locations to determine the accelerations and deflections. The rods and instrument locations will be determined by insights from prior tests conducted by SNL (DOE 2014) and by practical limitations of accessibility. Preliminary computer simulations may be used help inform the decision to determine which rods and locations would be likely to experience the greatest amount of movement.</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preparation for the transport shock and vibration tests, the SNL surrogate PWR fuel assembly shown in Figure 3-2 and also described in </w:t>
      </w:r>
      <w:r>
        <w:rPr>
          <w:rFonts w:ascii="Times New Roman" w:hAnsi="Times New Roman" w:cs="Times New Roman" w:eastAsia="Times New Roman"/>
          <w:i/>
          <w:color w:val="auto"/>
          <w:spacing w:val="0"/>
          <w:position w:val="0"/>
          <w:sz w:val="24"/>
          <w:shd w:fill="auto" w:val="clear"/>
        </w:rPr>
        <w:t xml:space="preserve">Normal Conditions of Transport Truck Test of a Surrogate Fuel Assembly</w:t>
      </w:r>
      <w:r>
        <w:rPr>
          <w:rFonts w:ascii="Times New Roman" w:hAnsi="Times New Roman" w:cs="Times New Roman" w:eastAsia="Times New Roman"/>
          <w:color w:val="auto"/>
          <w:spacing w:val="0"/>
          <w:position w:val="0"/>
          <w:sz w:val="24"/>
          <w:shd w:fill="auto" w:val="clear"/>
        </w:rPr>
        <w:t xml:space="preserve"> (DOE 2014) will be reconditioned and instrument sensors reinstalled at SNL in Albuquerque, New Mexico. The accelerometers and strain gauges will be essentially the same as, those described in that report (DOE 2014). The final locations of sensors will be determined through collaboration of technical staff at SNL and PNNL. SNL’s staff members have expertise and prior practical experience in installing instrument sensors and PNNL staff members will use computer simulations, as needed, of dynamic responses of fuel assembly structures to identify optimal placements for sensors.</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ENSA will also provide a surrogate PWR fuel assembly (from ENRESA) for the project. That assembly will be shipped to SNL in Albuquerque, New Mexico for instrumentation. The sensors that will be installed on the ENRESA surrogate fuel assembly are expected to approximate those that will be installed on the SNL surrogate assembly. The sensor locations will consider the design features of the ENRESA assembly, practical limitations and subject matter expert input regarding the assembly’s likely responses to shock and vibration forces.</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For both the SNL and ENRESA surrogate PWR fuel assemblies, sensor lead wires that will provide power to and transmit electronic signals from instrument sensors, will be installed and secured in and on the assemblies. With reasonable care, secured lead wires in and on the assemblies should enable assembly handling and loading into the ENSA ENUN 32P cask without being damaged.</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p>
    <w:p>
      <w:pPr>
        <w:keepNext w:val="true"/>
        <w:numPr>
          <w:ilvl w:val="0"/>
          <w:numId w:val="59"/>
        </w:numPr>
        <w:tabs>
          <w:tab w:val="left" w:pos="540" w:leader="none"/>
        </w:tabs>
        <w:spacing w:before="0" w:after="360" w:line="240"/>
        <w:ind w:right="0" w:left="0" w:firstLine="0"/>
        <w:jc w:val="left"/>
        <w:rPr>
          <w:rFonts w:ascii="Arial" w:hAnsi="Arial" w:cs="Arial" w:eastAsia="Arial"/>
          <w:b/>
          <w:caps w:val="true"/>
          <w:color w:val="auto"/>
          <w:spacing w:val="0"/>
          <w:position w:val="0"/>
          <w:sz w:val="28"/>
          <w:shd w:fill="auto" w:val="clear"/>
        </w:rPr>
      </w:pPr>
      <w:r>
        <w:rPr>
          <w:rFonts w:ascii="Arial" w:hAnsi="Arial" w:cs="Arial" w:eastAsia="Arial"/>
          <w:b/>
          <w:caps w:val="true"/>
          <w:color w:val="auto"/>
          <w:spacing w:val="0"/>
          <w:position w:val="0"/>
          <w:sz w:val="28"/>
          <w:shd w:fill="auto" w:val="clear"/>
        </w:rPr>
        <w:t xml:space="preserve">Fabricate Test Lid and Surrogate Impact Limiters for the ENSA ENUN 32P Cask</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ENSA ENUN 32P cask illustrated in Figure 4-1 has a two-lid closure system. Each lid is bolted to the cask body and includes metallic seals inside the peripheral bolt circle. The two lids have a combined weight of about 27,500 lb. Impact limiters, such as illustrated in Figure 4-1 are also components of an ENSA ENUN 32P cask, and together add approximately 25,000 lb. to overall weight. These two components of the cask’s total mass will need to be considered in the dynamic interactions of the cask, cradle, and railcar (and thus the total system) during rail test operations. Since the test will not include impact limiters, PNNL will collaborate with ENSA to ensure the mass of the impact limiters is represented in the system mass and that it reasonably represents the static and dynamic effects of the combined weights of the ENSA ENUN 32P cask’s impact limiters and inner and outer lids. This evaluation will also consider the data acquisition system and associated batteries and equipment masses.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360" w:leader="none"/>
          <w:tab w:val="left" w:pos="720" w:leader="none"/>
          <w:tab w:val="left" w:pos="1080" w:leader="none"/>
        </w:tabs>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object w:dxaOrig="8294" w:dyaOrig="5500">
          <v:rect xmlns:o="urn:schemas-microsoft-com:office:office" xmlns:v="urn:schemas-microsoft-com:vml" id="rectole0000000002" style="width:414.700000pt;height:275.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tabs>
          <w:tab w:val="left" w:pos="360" w:leader="none"/>
          <w:tab w:val="left" w:pos="720" w:leader="none"/>
          <w:tab w:val="left" w:pos="1080" w:leader="none"/>
        </w:tabs>
        <w:spacing w:before="12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Figure .  Impact Limiters on a Large Transportation Cask (Courtesy of ENSA)</w:t>
      </w:r>
    </w:p>
    <w:p>
      <w:pPr>
        <w:keepNext w:val="true"/>
        <w:numPr>
          <w:ilvl w:val="0"/>
          <w:numId w:val="64"/>
        </w:numPr>
        <w:tabs>
          <w:tab w:val="left" w:pos="540" w:leader="none"/>
        </w:tabs>
        <w:spacing w:before="360" w:after="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Impact Limiters</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Because the dynamic effects can be simulated using bolt-on mass surrogates, costly impact limiters will not need to be used in the rail shock and vibration tests. Instead, when preparing the cask at its facility in Maliaño (Cantabria), Spain, ENSA will use additional masses (associated with the instrumentation enclosure, and/or additional bolted-on masses) to reasonably simulate the ENSA ENUN 32P cask’s impact limiters. ENSA will design and construct the test lid with wiring ports and install it on the cask.</w:t>
      </w:r>
    </w:p>
    <w:p>
      <w:pPr>
        <w:keepNext w:val="true"/>
        <w:numPr>
          <w:ilvl w:val="0"/>
          <w:numId w:val="66"/>
        </w:numPr>
        <w:tabs>
          <w:tab w:val="left" w:pos="540" w:leader="none"/>
        </w:tabs>
        <w:spacing w:before="360" w:after="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Test Lid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ENSA will install the test lid on the ENSA ENUN 32P cask at its facility in place of the original inner and outer lids (Figure 4-2) of the cask and will provide additional weight to simulate the cask’s top impact limiter.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keepNext w:val="true"/>
        <w:tabs>
          <w:tab w:val="left" w:pos="360" w:leader="none"/>
          <w:tab w:val="left" w:pos="720" w:leader="none"/>
          <w:tab w:val="left" w:pos="1080" w:leader="none"/>
        </w:tabs>
        <w:spacing w:before="240" w:after="0" w:line="240"/>
        <w:ind w:right="0" w:left="0" w:firstLine="0"/>
        <w:jc w:val="center"/>
        <w:rPr>
          <w:rFonts w:ascii="Times New Roman" w:hAnsi="Times New Roman" w:cs="Times New Roman" w:eastAsia="Times New Roman"/>
          <w:color w:val="auto"/>
          <w:spacing w:val="0"/>
          <w:position w:val="0"/>
          <w:sz w:val="22"/>
          <w:shd w:fill="auto" w:val="clear"/>
        </w:rPr>
      </w:pPr>
      <w:r>
        <w:object w:dxaOrig="7130" w:dyaOrig="5022">
          <v:rect xmlns:o="urn:schemas-microsoft-com:office:office" xmlns:v="urn:schemas-microsoft-com:vml" id="rectole0000000003" style="width:356.500000pt;height:251.1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tabs>
          <w:tab w:val="left" w:pos="360" w:leader="none"/>
          <w:tab w:val="left" w:pos="720" w:leader="none"/>
          <w:tab w:val="left" w:pos="1080" w:leader="none"/>
        </w:tabs>
        <w:spacing w:before="12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Figure .  Artist Illustration of ENSA ENUN 32P Cask (Courtesy of ENSA)</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ENSA will design the test lid providing channels (or a separate protective basket top-plate) on the bottom side and through-openings for instrument lead wires. The bottom-side channels and through-openings will be sufficient to accommodate leads from instrument sensors installed on components in the cask’s interior including surrogate fuel assemblies, one or more dummy fuel assemblies, and one or more locations on the cask’s basket.</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number of instrument leads that will need to be routed under the bottom of the test head and through the test head and locations in the cask’s interior where the leads will originate will be specified by SNL and PNNL. Attachments of instrument sensors to internal components of the ENSA ENUN 32P cask will be determined by agreement between ENSA and the SNL instrumentation technicians who will be at the ENSA facility during final assembly.</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addition, the test lid may provide mounting brackets on its outside surface for installing an instrument-to-lead wire connection panel. SNL will specify the instrument-lead connection panel’s design, and will be provide the panel.</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73"/>
        </w:numPr>
        <w:tabs>
          <w:tab w:val="left" w:pos="540" w:leader="none"/>
        </w:tabs>
        <w:spacing w:before="0" w:after="360" w:line="240"/>
        <w:ind w:right="0" w:left="0" w:firstLine="0"/>
        <w:jc w:val="left"/>
        <w:rPr>
          <w:rFonts w:ascii="Arial" w:hAnsi="Arial" w:cs="Arial" w:eastAsia="Arial"/>
          <w:b/>
          <w:caps w:val="true"/>
          <w:color w:val="auto"/>
          <w:spacing w:val="0"/>
          <w:position w:val="0"/>
          <w:sz w:val="28"/>
          <w:shd w:fill="auto" w:val="clear"/>
        </w:rPr>
      </w:pPr>
      <w:r>
        <w:rPr>
          <w:rFonts w:ascii="Arial" w:hAnsi="Arial" w:cs="Arial" w:eastAsia="Arial"/>
          <w:b/>
          <w:caps w:val="true"/>
          <w:color w:val="auto"/>
          <w:spacing w:val="0"/>
          <w:position w:val="0"/>
          <w:sz w:val="28"/>
          <w:shd w:fill="auto" w:val="clear"/>
        </w:rPr>
        <w:t xml:space="preserve">Fabricate Dummy PWR Fuel Assemblies</w:t>
      </w:r>
    </w:p>
    <w:tbl>
      <w:tblPr/>
      <w:tblGrid>
        <w:gridCol w:w="1908"/>
      </w:tblGrid>
      <w:tr>
        <w:trPr>
          <w:trHeight w:val="1" w:hRule="atLeast"/>
          <w:jc w:val="left"/>
        </w:trPr>
        <w:tc>
          <w:tcPr>
            <w:tcW w:w="1908" w:type="dxa"/>
            <w:tcBorders>
              <w:top w:val="single" w:color="000000" w:sz="0"/>
              <w:left w:val="single" w:color="000000" w:sz="0"/>
              <w:bottom w:val="single" w:color="000000" w:sz="0"/>
              <w:right w:val="single" w:color="000000" w:sz="0"/>
            </w:tcBorders>
            <w:shd w:color="000000" w:fill="ffffff" w:val="clear"/>
            <w:tcMar>
              <w:left w:w="72" w:type="dxa"/>
              <w:right w:w="72" w:type="dxa"/>
            </w:tcMar>
            <w:vAlign w:val="top"/>
          </w:tcPr>
          <w:p>
            <w:pPr>
              <w:tabs>
                <w:tab w:val="left" w:pos="360" w:leader="none"/>
                <w:tab w:val="left" w:pos="720" w:leader="none"/>
                <w:tab w:val="left" w:pos="1080" w:leader="none"/>
              </w:tabs>
              <w:spacing w:before="240" w:after="0" w:line="264"/>
              <w:ind w:right="0" w:left="0" w:firstLine="0"/>
              <w:jc w:val="center"/>
              <w:rPr>
                <w:rFonts w:ascii="Calibri" w:hAnsi="Calibri" w:cs="Calibri" w:eastAsia="Calibri"/>
                <w:color w:val="auto"/>
                <w:spacing w:val="0"/>
                <w:position w:val="0"/>
                <w:sz w:val="22"/>
                <w:shd w:fill="auto" w:val="clear"/>
              </w:rPr>
            </w:pPr>
            <w:r>
              <w:object w:dxaOrig="1106" w:dyaOrig="8390">
                <v:rect xmlns:o="urn:schemas-microsoft-com:office:office" xmlns:v="urn:schemas-microsoft-com:vml" id="rectole0000000004" style="width:55.300000pt;height:419.5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tc>
      </w:tr>
      <w:tr>
        <w:trPr>
          <w:trHeight w:val="1" w:hRule="atLeast"/>
          <w:jc w:val="left"/>
        </w:trPr>
        <w:tc>
          <w:tcPr>
            <w:tcW w:w="1908" w:type="dxa"/>
            <w:tcBorders>
              <w:top w:val="single" w:color="000000" w:sz="0"/>
              <w:left w:val="single" w:color="000000" w:sz="0"/>
              <w:bottom w:val="single" w:color="000000" w:sz="0"/>
              <w:right w:val="single" w:color="000000" w:sz="0"/>
            </w:tcBorders>
            <w:shd w:color="000000" w:fill="ffffff" w:val="clear"/>
            <w:tcMar>
              <w:left w:w="72" w:type="dxa"/>
              <w:right w:w="72" w:type="dxa"/>
            </w:tcMar>
            <w:vAlign w:val="center"/>
          </w:tcPr>
          <w:p>
            <w:pPr>
              <w:tabs>
                <w:tab w:val="left" w:pos="360" w:leader="none"/>
                <w:tab w:val="left" w:pos="720" w:leader="none"/>
                <w:tab w:val="left" w:pos="1080" w:leader="none"/>
              </w:tabs>
              <w:spacing w:before="120" w:after="120" w:line="264"/>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Figure . Example of a Dummy Fuel Assembly</w:t>
            </w:r>
          </w:p>
        </w:tc>
      </w:tr>
    </w:tbl>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ENSA will manufacture 30 dummy PWR fuel assemblies (see Figure 5-1) for the Project. The dummy assemblies will replicate the mass of PWR fuel assemblies if such assemblies were placed in the 30 cells of the ENSA ENUN 32P cask’s basket that are not occupied by the surrogate PWR fuel assemblies.</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dummy fuel assemblies will closely match the mass, length, and cross section of a PWR fuel assembly. Structural dynamics modeling of the dummy assembly will be performed and used to determine how the dummy assembly potentially affects the response of other components, namely the basket and the surrogate assemblies. This modeling will be incorporated into detailed transportation models of the ENSA ENUN 32P. The ENSA ENUN 32P model is discussed in detail in Section 6. The transportation testing campaign will provide data to validate the transportation modeling methodologies currently being developed by PNNL. Once these methodologies are validated, the models can be modified to analyze specific cases where any (non-test) basket location is loaded with PWR fuel assemblies.</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dummy fuel assembly previously fabricated by ENSA is shown in Figure 5-1.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ENSA will fabricate the dummy fuel assemblies at its facility in Maliaño (Cantabria), Spain.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Accelerometers may be installed on (attached to) or in, one or a few dummy fuel assemblies. If used, accelerometers would be provided by and installed by SNL.</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If used, the accelerometer lead wires will be installed and secured in or on the assembly(ies). The installation and securement of the leads will be such that, with reasonable care, the assembly(ies) can be handled and loaded into the ENSA ENUN 32P cask without risk of damage to the leads or the sensors.</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numPr>
          <w:ilvl w:val="0"/>
          <w:numId w:val="82"/>
        </w:numPr>
        <w:tabs>
          <w:tab w:val="left" w:pos="540" w:leader="none"/>
        </w:tabs>
        <w:spacing w:before="0" w:after="360" w:line="240"/>
        <w:ind w:right="0" w:left="0" w:firstLine="0"/>
        <w:jc w:val="left"/>
        <w:rPr>
          <w:rFonts w:ascii="Arial" w:hAnsi="Arial" w:cs="Arial" w:eastAsia="Arial"/>
          <w:b/>
          <w:caps w:val="true"/>
          <w:color w:val="auto"/>
          <w:spacing w:val="0"/>
          <w:position w:val="0"/>
          <w:sz w:val="28"/>
          <w:shd w:fill="auto" w:val="clear"/>
        </w:rPr>
      </w:pPr>
      <w:r>
        <w:rPr>
          <w:rFonts w:ascii="Arial" w:hAnsi="Arial" w:cs="Arial" w:eastAsia="Arial"/>
          <w:b/>
          <w:caps w:val="true"/>
          <w:color w:val="auto"/>
          <w:spacing w:val="0"/>
          <w:position w:val="0"/>
          <w:sz w:val="28"/>
          <w:shd w:fill="auto" w:val="clear"/>
        </w:rPr>
        <w:t xml:space="preserve">Conduct Simulation Modeling of ENSA ENUN 32P Cask Test Unit on RailCar to Determine Instrumentation Requirements</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Numerical modeling of the package, cradle, railcar, and other transportation systems will be performed prior to testing, during testing, and after testing is completed. Pre-test analyses and simulations will be performed as needed to answer technical questions that arise while preparing the test plan. Analyses during the test campaign will be performed to evaluate the test data as they are collected to determine if changes to the test program need to be made while it is in progress. Modeling and analysis will be performed after the test campaign is completed to assess the data that were collected. The recorded test loads will be projected onto used fuel in realistic transportation configurations and alternate configurations, as necessary, to close the stress profiles knowledge gap.</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number of pre-test analyses are documented in Finite Element &amp; Modeling in Support of S&amp;V Test Plan (Klymyshyn 2016), which makes recommendations where to place the fuel basket accelerometers and where to place the two instrumented fuel assemblies within the fuel basket.  Klymyshyn also discusses options for placing the data acquisition system batteries to minimize their effect on the railcar system.  The report provides an initial analysis of the cask and cradle system frequency domain dynamic behavior, including a modal analysis and a frequency response analysis. These data are needed to help build the full rail conveyance system models during the test campaign and after.</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next set of models to be developed are the full as-tested configuration of the rail test system.  The railcar for testing in the United States is not yet selected. When the railcar is selected, a NUCARS™ (TTCI 2015) model will be developed and coupled models of the package and cradle system will be finalized. The coupling is currently expected to be accomplished by extracting centerbowl forces from the NUCARS model and applying them to an LS-DYNA (Livermore Software Technologies 2013) model of the cradle and package system, to ultimately determine the loads transmitted to the fuel basket. The load transmission model will be validated against test data, so it will provide a credible translation of loads through the complex railcar system. The models will account for the data acquisition system, batteries, and any other equipment on the railcar during testing.</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significant amount of test data will be collected to understand the load transmission through the railcar (and other transportation mode) systems. Accelerometers on the cask and cradle, and in the basket and on fuel assemblies provide multiple layers of data collection coverage. All of these sensors will be used in all modes of transport. Additional sensors are mounted on the railcar, and instrumented wheelsets are expected to be used in the captive track tests. This assures that all levels of the railcar system model will have adequate validation data for the as-tested railcar system models. Similarly, sensors on the heavy-haul truck may be used to provide additional validation data for this mode of transport. All other modes (barge and ship) of transport will have model validation data limited to the cradle and package, but those are adequate for the purposes of this test campaign.</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Figure 6-1 illustrates the accelerometer and other sensor locations that may be used for the ENSA ENUN 32P cask and the associated railcar.</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360" w:leader="none"/>
          <w:tab w:val="left" w:pos="720" w:leader="none"/>
          <w:tab w:val="left" w:pos="108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5951" w:dyaOrig="4700">
          <v:rect xmlns:o="urn:schemas-microsoft-com:office:office" xmlns:v="urn:schemas-microsoft-com:vml" id="rectole0000000005" style="width:297.550000pt;height:235.0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360" w:leader="none"/>
          <w:tab w:val="left" w:pos="720" w:leader="none"/>
          <w:tab w:val="left" w:pos="1080" w:leader="none"/>
        </w:tabs>
        <w:spacing w:before="12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Figure .  Example of Instrument Sensor Placements for Rail Shock and Vibration Testing</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addition to the specific railcar, the final configuration of the ENSA package needs to be determined. The current models of the package include preliminary assumptions regarding the impact limiters and the specially fabricated lid design that will be used during testing, which has holes that allow transducer wiring to pass through to the data acquisition system.</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Another important item that requires a model yet to be created is the ENSA surrogate fuel assembly.  It will be created in LS-DYNA using similar methods and assumptions as the SNL surrogate assembly model (used in recent years to support shaker table and truck transportation shock and vibration testing. Full fuel assembly models are computationally expensive, so they are used sparingly in the analytical process. Simulating 10 seconds of behavior can take roughly one week of real time on typical computer systems. The full fuel assembly models will be used primarily after testing is completed, but they may also be used during testing to help understand the results as they are collected.</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When it comes to the heavy-haul truck transportation segment, the barge transportation segment, and the deep water transportation segment, the modeling will be focused on the loading recorded at the cradle and upward, and will not attempt to model the phenomena below the cradle (unless the need to do so becomes apparent during testing). As discussed above, there are sufficient sensor data attached to the cradle and cask to provide validation of the models and characterize the shock and vibration loading environment. These modes of transportation are considered to be representative of the typical transportation loading environment, so the loads witnessed by the cradle and package unit during testing are considered representative of typical transportation loading conditions for real used nuclear fuel.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railcar transportation segments are also considered to provide representative loads to the cradle and package unit, although in this case a standard railcar will be used. Shipments of used fuel will use railcars that conform to AAR S-2043 (AAR 2008), a design that is meant to prevent derailing of the railcars. Such a railcar is not fully developed, nor available to lease at this time. An AAR S-2043 railcar may also provide a gentler ride quality than a standard modern flat deck railcar, but the difference will be studied through modeling after the test campaign is completed. Table 6-1 summarizes the various numerical models that will be conducted for the Project.</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PNNL technical staff will need access to all technical information (design, construction, and materials) of the ENSA ENUN 32P cask: its basket, cradle, surrogate impact limiters, the SNL and ENSA surrogate fuel assemblies, and the railcar that will be used. Table 6-2 lists the information needed to develop the numerical models for the simulations discussed in this section.</w:t>
      </w:r>
    </w:p>
    <w:p>
      <w:pPr>
        <w:keepNext w:val="true"/>
        <w:tabs>
          <w:tab w:val="left" w:pos="360" w:leader="none"/>
          <w:tab w:val="left" w:pos="720" w:leader="none"/>
          <w:tab w:val="left" w:pos="1080" w:leader="none"/>
        </w:tabs>
        <w:spacing w:before="240" w:after="120" w:line="240"/>
        <w:ind w:right="0" w:left="1037" w:hanging="1037"/>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  Simulation Analyses for the Rail Shock and Vibration Test Project</w:t>
      </w:r>
    </w:p>
    <w:tbl>
      <w:tblPr/>
      <w:tblGrid>
        <w:gridCol w:w="2999"/>
        <w:gridCol w:w="6351"/>
      </w:tblGrid>
      <w:tr>
        <w:trPr>
          <w:trHeight w:val="1" w:hRule="atLeast"/>
          <w:jc w:val="left"/>
        </w:trPr>
        <w:tc>
          <w:tcPr>
            <w:tcW w:w="2999"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Simulation</w:t>
            </w:r>
          </w:p>
        </w:tc>
        <w:tc>
          <w:tcPr>
            <w:tcW w:w="6351"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Purpose &amp; Scope</w:t>
            </w:r>
          </w:p>
        </w:tc>
      </w:tr>
      <w:tr>
        <w:trPr>
          <w:trHeight w:val="1" w:hRule="atLeast"/>
          <w:jc w:val="left"/>
        </w:trPr>
        <w:tc>
          <w:tcPr>
            <w:tcW w:w="2999"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LS-DYNA Simulation of ENSA ENUN 32P Cask Basket</w:t>
            </w:r>
          </w:p>
        </w:tc>
        <w:tc>
          <w:tcPr>
            <w:tcW w:w="6351"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Provide insight into basket dynamics to inform the decision to place accelerometers and instrumented surrogate assemblies within basket.</w:t>
            </w:r>
          </w:p>
        </w:tc>
      </w:tr>
      <w:tr>
        <w:trPr>
          <w:trHeight w:val="1" w:hRule="atLeast"/>
          <w:jc w:val="left"/>
        </w:trPr>
        <w:tc>
          <w:tcPr>
            <w:tcW w:w="2999"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LS-DYNA Fuel Assembly Response Analyses</w:t>
            </w:r>
          </w:p>
        </w:tc>
        <w:tc>
          <w:tcPr>
            <w:tcW w:w="6351"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Calculate cladding strains for as-tested or real used nuclear fuel. These will typically include just a single fuel basket compartment and one detailed fuel assembly.</w:t>
            </w:r>
          </w:p>
        </w:tc>
      </w:tr>
      <w:tr>
        <w:trPr>
          <w:trHeight w:val="1" w:hRule="atLeast"/>
          <w:jc w:val="left"/>
        </w:trPr>
        <w:tc>
          <w:tcPr>
            <w:tcW w:w="2999"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LS-DYNA Full Package Response Analyses</w:t>
            </w:r>
          </w:p>
        </w:tc>
        <w:tc>
          <w:tcPr>
            <w:tcW w:w="6351"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Full model of the package to be used as-necessary to simulate the dynamic behavior of the fully loaded system with detailed fuel assemblies and as-tested dummy fuel assemblies.  </w:t>
            </w:r>
          </w:p>
        </w:tc>
      </w:tr>
      <w:tr>
        <w:trPr>
          <w:trHeight w:val="1" w:hRule="atLeast"/>
          <w:jc w:val="left"/>
        </w:trPr>
        <w:tc>
          <w:tcPr>
            <w:tcW w:w="2999"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NUCARS Railcar Analyses</w:t>
            </w:r>
          </w:p>
        </w:tc>
        <w:tc>
          <w:tcPr>
            <w:tcW w:w="6351"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Validate the as-tested railcar configuration and predict the response of real used fuel transportation conditions</w:t>
            </w:r>
          </w:p>
        </w:tc>
      </w:tr>
      <w:tr>
        <w:trPr>
          <w:trHeight w:val="1" w:hRule="atLeast"/>
          <w:jc w:val="left"/>
        </w:trPr>
        <w:tc>
          <w:tcPr>
            <w:tcW w:w="2999"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NUCARS/LS-DYNA Load Transmission Model</w:t>
            </w:r>
          </w:p>
        </w:tc>
        <w:tc>
          <w:tcPr>
            <w:tcW w:w="6351"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Provide a linkage between NUCARS railcar simulation and LS-DYNA fuel assembly simulation. Any loads calculated in NUCARS for a railcar can be translated through the railcar system to the fuel assembly using this model.</w:t>
            </w:r>
          </w:p>
        </w:tc>
      </w:tr>
      <w:tr>
        <w:trPr>
          <w:trHeight w:val="1" w:hRule="atLeast"/>
          <w:jc w:val="left"/>
        </w:trPr>
        <w:tc>
          <w:tcPr>
            <w:tcW w:w="2999"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ANSYS Frequency Domain Analyses of Cradle and Package</w:t>
            </w:r>
          </w:p>
        </w:tc>
        <w:tc>
          <w:tcPr>
            <w:tcW w:w="6351"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Provide insight into load transmissibility from any general cradle excitation. </w:t>
            </w:r>
          </w:p>
        </w:tc>
      </w:tr>
      <w:tr>
        <w:trPr>
          <w:trHeight w:val="1" w:hRule="atLeast"/>
          <w:jc w:val="left"/>
        </w:trPr>
        <w:tc>
          <w:tcPr>
            <w:tcW w:w="9350" w:type="dxa"/>
            <w:gridSpan w:val="2"/>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64"/>
              <w:ind w:right="0" w:left="0" w:firstLine="0"/>
              <w:jc w:val="left"/>
              <w:rPr>
                <w:rFonts w:ascii="Calibri" w:hAnsi="Calibri" w:cs="Calibri" w:eastAsia="Calibri"/>
                <w:color w:val="auto"/>
                <w:spacing w:val="0"/>
                <w:position w:val="0"/>
                <w:sz w:val="22"/>
                <w:shd w:fill="auto" w:val="clear"/>
              </w:rPr>
            </w:pPr>
          </w:p>
        </w:tc>
      </w:tr>
    </w:tbl>
    <w:p>
      <w:pPr>
        <w:tabs>
          <w:tab w:val="left" w:pos="360" w:leader="none"/>
          <w:tab w:val="left" w:pos="720" w:leader="none"/>
          <w:tab w:val="left" w:pos="1080" w:leader="none"/>
        </w:tabs>
        <w:spacing w:before="12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tabs>
          <w:tab w:val="left" w:pos="360" w:leader="none"/>
          <w:tab w:val="left" w:pos="720" w:leader="none"/>
          <w:tab w:val="left" w:pos="1080" w:leader="none"/>
        </w:tabs>
        <w:spacing w:before="120" w:after="0" w:line="240"/>
        <w:ind w:right="0" w:left="0" w:firstLine="0"/>
        <w:jc w:val="left"/>
        <w:rPr>
          <w:rFonts w:ascii="Times New Roman" w:hAnsi="Times New Roman" w:cs="Times New Roman" w:eastAsia="Times New Roman"/>
          <w:color w:val="auto"/>
          <w:spacing w:val="0"/>
          <w:position w:val="0"/>
          <w:sz w:val="24"/>
          <w:shd w:fill="auto" w:val="clear"/>
        </w:rPr>
      </w:pPr>
    </w:p>
    <w:p>
      <w:pPr>
        <w:keepNext w:val="true"/>
        <w:tabs>
          <w:tab w:val="left" w:pos="360" w:leader="none"/>
          <w:tab w:val="left" w:pos="720" w:leader="none"/>
          <w:tab w:val="left" w:pos="1080" w:leader="none"/>
        </w:tabs>
        <w:spacing w:before="240" w:after="120" w:line="240"/>
        <w:ind w:right="0" w:left="1037" w:hanging="1037"/>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  Information Needed for Simulation Modeling</w:t>
      </w:r>
    </w:p>
    <w:tbl>
      <w:tblPr/>
      <w:tblGrid>
        <w:gridCol w:w="4006"/>
        <w:gridCol w:w="5344"/>
      </w:tblGrid>
      <w:tr>
        <w:trPr>
          <w:trHeight w:val="1" w:hRule="atLeast"/>
          <w:jc w:val="left"/>
          <w:cantSplit w:val="1"/>
        </w:trPr>
        <w:tc>
          <w:tcPr>
            <w:tcW w:w="400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ENSA ENUN 32P Cask Test Unit Component</w:t>
            </w:r>
          </w:p>
        </w:tc>
        <w:tc>
          <w:tcPr>
            <w:tcW w:w="534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Information Needed</w:t>
            </w:r>
          </w:p>
        </w:tc>
      </w:tr>
      <w:tr>
        <w:trPr>
          <w:trHeight w:val="1" w:hRule="atLeast"/>
          <w:jc w:val="left"/>
        </w:trPr>
        <w:tc>
          <w:tcPr>
            <w:tcW w:w="400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Surrogate Fuel Assemblies</w:t>
            </w:r>
          </w:p>
        </w:tc>
        <w:tc>
          <w:tcPr>
            <w:tcW w:w="534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Surrogate fuel assembly design details</w:t>
            </w:r>
          </w:p>
        </w:tc>
      </w:tr>
      <w:tr>
        <w:trPr>
          <w:trHeight w:val="1" w:hRule="atLeast"/>
          <w:jc w:val="left"/>
        </w:trPr>
        <w:tc>
          <w:tcPr>
            <w:tcW w:w="400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Dummy Fuel Assembly</w:t>
            </w:r>
          </w:p>
        </w:tc>
        <w:tc>
          <w:tcPr>
            <w:tcW w:w="534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ENSA engineering drawings including BoM</w:t>
            </w:r>
          </w:p>
        </w:tc>
      </w:tr>
      <w:tr>
        <w:trPr>
          <w:trHeight w:val="1" w:hRule="atLeast"/>
          <w:jc w:val="left"/>
        </w:trPr>
        <w:tc>
          <w:tcPr>
            <w:tcW w:w="400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ENSA ENUN 32P Cask</w:t>
            </w:r>
          </w:p>
          <w:p>
            <w:pPr>
              <w:numPr>
                <w:ilvl w:val="0"/>
                <w:numId w:val="118"/>
              </w:numPr>
              <w:tabs>
                <w:tab w:val="left" w:pos="16776136" w:leader="none"/>
                <w:tab w:val="left" w:pos="16776496" w:leader="none"/>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spacing w:before="0" w:after="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cask body (including trunnions)</w:t>
            </w:r>
          </w:p>
          <w:p>
            <w:pPr>
              <w:numPr>
                <w:ilvl w:val="0"/>
                <w:numId w:val="118"/>
              </w:numPr>
              <w:tabs>
                <w:tab w:val="left" w:pos="16776136" w:leader="none"/>
                <w:tab w:val="left" w:pos="16776496" w:leader="none"/>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spacing w:before="0" w:after="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bottom-end surrogate impact limiter</w:t>
            </w:r>
          </w:p>
          <w:p>
            <w:pPr>
              <w:numPr>
                <w:ilvl w:val="0"/>
                <w:numId w:val="118"/>
              </w:numPr>
              <w:tabs>
                <w:tab w:val="left" w:pos="16776136" w:leader="none"/>
                <w:tab w:val="left" w:pos="16776496" w:leader="none"/>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spacing w:before="0" w:after="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test head w/top-end surrogate impact limiter</w:t>
            </w:r>
          </w:p>
          <w:p>
            <w:pPr>
              <w:numPr>
                <w:ilvl w:val="0"/>
                <w:numId w:val="118"/>
              </w:numPr>
              <w:tabs>
                <w:tab w:val="left" w:pos="16776136" w:leader="none"/>
                <w:tab w:val="left" w:pos="16776496" w:leader="none"/>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spacing w:before="0" w:after="0" w:line="240"/>
              <w:ind w:right="0" w:left="720" w:hanging="36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cask basket</w:t>
            </w:r>
          </w:p>
        </w:tc>
        <w:tc>
          <w:tcPr>
            <w:tcW w:w="534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ENSA engineering drawings listed in the cask’s safety analysis report including callouts for bills of materials (BoMs)</w:t>
            </w:r>
            <w:r>
              <w:rPr>
                <w:rFonts w:ascii="Times New Roman" w:hAnsi="Times New Roman" w:cs="Times New Roman" w:eastAsia="Times New Roman"/>
                <w:color w:val="auto"/>
                <w:spacing w:val="0"/>
                <w:position w:val="0"/>
                <w:sz w:val="22"/>
                <w:shd w:fill="auto" w:val="clear"/>
                <w:vertAlign w:val="superscript"/>
              </w:rPr>
              <w:t xml:space="preserve">(a).</w:t>
            </w:r>
          </w:p>
          <w:p>
            <w:pPr>
              <w:tabs>
                <w:tab w:val="left" w:pos="180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ENSA engineering drawing for test head including a BoM.</w:t>
            </w:r>
          </w:p>
          <w:p>
            <w:p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ENSA engineering drawings for surrogate bottom and top impact limiters including a BoM.</w:t>
            </w:r>
          </w:p>
        </w:tc>
      </w:tr>
      <w:tr>
        <w:trPr>
          <w:trHeight w:val="1" w:hRule="atLeast"/>
          <w:jc w:val="left"/>
        </w:trPr>
        <w:tc>
          <w:tcPr>
            <w:tcW w:w="400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ENSA ENUN 32P Cask Cradle</w:t>
            </w:r>
          </w:p>
        </w:tc>
        <w:tc>
          <w:tcPr>
            <w:tcW w:w="534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ENSA engineering drawing including BoM</w:t>
            </w:r>
          </w:p>
        </w:tc>
      </w:tr>
      <w:tr>
        <w:trPr>
          <w:trHeight w:val="1" w:hRule="atLeast"/>
          <w:jc w:val="left"/>
        </w:trPr>
        <w:tc>
          <w:tcPr>
            <w:tcW w:w="400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Data Acquisition and Control System &amp; Battery Power Supply Enclosure</w:t>
            </w:r>
          </w:p>
        </w:tc>
        <w:tc>
          <w:tcPr>
            <w:tcW w:w="534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ENSA engineering drawing including BoM</w:t>
            </w:r>
          </w:p>
        </w:tc>
      </w:tr>
      <w:tr>
        <w:trPr>
          <w:trHeight w:val="1" w:hRule="atLeast"/>
          <w:jc w:val="left"/>
        </w:trPr>
        <w:tc>
          <w:tcPr>
            <w:tcW w:w="400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8-or 12 Axle Heavy-Duty Railcar</w:t>
            </w:r>
          </w:p>
        </w:tc>
        <w:tc>
          <w:tcPr>
            <w:tcW w:w="534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Railroad industry manufacturing drawing including BoM</w:t>
            </w:r>
          </w:p>
        </w:tc>
      </w:tr>
      <w:tr>
        <w:trPr>
          <w:trHeight w:val="1" w:hRule="atLeast"/>
          <w:jc w:val="left"/>
        </w:trPr>
        <w:tc>
          <w:tcPr>
            <w:tcW w:w="9350" w:type="dxa"/>
            <w:gridSpan w:val="2"/>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numPr>
                <w:ilvl w:val="0"/>
                <w:numId w:val="128"/>
              </w:numPr>
              <w:tabs>
                <w:tab w:val="left" w:pos="180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 BoM “Bill of Material” is a multi-level document that provides build data for components and includes items such as mechanical characteristics, attached reference files, part specifications, computer-aided design files and schematics.</w:t>
            </w:r>
          </w:p>
        </w:tc>
      </w:tr>
    </w:tbl>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numPr>
          <w:ilvl w:val="0"/>
          <w:numId w:val="131"/>
        </w:numPr>
        <w:tabs>
          <w:tab w:val="left" w:pos="540" w:leader="none"/>
        </w:tabs>
        <w:spacing w:before="0" w:after="360" w:line="240"/>
        <w:ind w:right="0" w:left="0" w:firstLine="0"/>
        <w:jc w:val="left"/>
        <w:rPr>
          <w:rFonts w:ascii="Arial" w:hAnsi="Arial" w:cs="Arial" w:eastAsia="Arial"/>
          <w:b/>
          <w:caps w:val="true"/>
          <w:color w:val="auto"/>
          <w:spacing w:val="0"/>
          <w:position w:val="0"/>
          <w:sz w:val="28"/>
          <w:shd w:fill="auto" w:val="clear"/>
        </w:rPr>
      </w:pPr>
      <w:r>
        <w:rPr>
          <w:rFonts w:ascii="Arial" w:hAnsi="Arial" w:cs="Arial" w:eastAsia="Arial"/>
          <w:b/>
          <w:caps w:val="true"/>
          <w:color w:val="auto"/>
          <w:spacing w:val="0"/>
          <w:position w:val="0"/>
          <w:sz w:val="28"/>
          <w:shd w:fill="auto" w:val="clear"/>
        </w:rPr>
        <w:t xml:space="preserve">Install Surrogate and Dummy Fuel Assemblies and Instrumentation in and on the ENSA ENUN 32P Cask</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Before instrumented surrogate and dummy fuel assemblies are placed into the ENSA ENUN 32P cask’s basket, instrument sensors will be secured in place on internal surfaces of the basket and the inside the cask body, if feasible, at the ENSA facility in Maliaño (Cantabria), Spain. The number, locations, and types of sensors will be determined based on subject matter experts’ direction informed by computer simulation analyses as described in Table 6-1. SNL’s technical staff will install and test the instrumentation on the two surrogate assemblies at SNL prior to shipping the assemblies to ENSA for placement in the cask. ENSA will ship the ENRESA surrogate used fuel assembly to SNL for instrumentation. Additional instrumentation in and on the cask will be installed at ENSA’s facility prior to any testing. Conductor leads from the sensors will be routed and secured such that, with reasonable care, the cask can be handled, loaded with surrogate and dummy fuel assemblies, and assembled without damaging the leads or the sensors.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Two instrumentation leads will be developed. The first would be long enough (about 100 ft) to facilitate the simulation cask movements for transloading or interim storage purposes. The second shorter lead would be for all other data collection during the different modes of transportation. Routing of sensor leads may employ a protective interface plate (conceptual) that would rest on the top of the basket under the cask’s test lid (to be designed by ENSA).</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surrogate and dummy fuel assemblies will be placed into the basket of the ENSA ENUN 32P cask by ENSA technical staff at the ENSA facility in Maliaño (Cantabria), Spain. When placing the fuel assemblies into the cask, the ENSA technicians will exercise caution to ensure that instrument leads from fuel assembly sensors and from instrument sensors placed on the ENSA ENUN 32P cask’s basket and inside wall are protected from damage. The location of the surrogate assemblies within the basket will be determined with the assistance of computer modeling.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On the exit, or top side of the protective interface plate, instrument leads from the surrogate fuel assemblies will be organized into bundles. Instrument lead bundles from dummy fuel assemblies, basket, and the cask’s basket will be identified separately.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Next, ENSA will install the test lid on the ENSA ENUN 32P cask. Instrument leads exiting the protective interface plate (under the test lid) will pass through opening(s) in the test lid that will be larger than, and will circumscribe, the top opening(s) in the interface plate.</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After installing the test lid on the cask, ENSA technicians will install an instrument panel</w:t>
      </w:r>
      <w:r>
        <w:rPr>
          <w:rFonts w:ascii="Times New Roman" w:hAnsi="Times New Roman" w:cs="Times New Roman" w:eastAsia="Times New Roman"/>
          <w:color w:val="auto"/>
          <w:spacing w:val="0"/>
          <w:position w:val="0"/>
          <w:sz w:val="24"/>
          <w:shd w:fill="auto" w:val="clear"/>
          <w:vertAlign w:val="superscript"/>
        </w:rPr>
        <w:t xml:space="preserve">,</w:t>
      </w:r>
      <w:r>
        <w:rPr>
          <w:rFonts w:ascii="Times New Roman" w:hAnsi="Times New Roman" w:cs="Times New Roman" w:eastAsia="Times New Roman"/>
          <w:color w:val="auto"/>
          <w:spacing w:val="0"/>
          <w:position w:val="0"/>
          <w:sz w:val="24"/>
          <w:shd w:fill="auto" w:val="clear"/>
        </w:rPr>
        <w:t xml:space="preserve"> on the outside surface of the surrogate upper impact limiter. The instrument panel may be installed after the cask is placed on its transport cradle. The instrument leads from inside the cask will be connected into the instrument panel and the instrument panel will thus provide the interface for the external data acquisition and control (DAC) system to communicate with the sensors inside the cask. The instrument panel will also provide the connection interface for leads from all other sensors installed on the ENSA ENUN 32P cask test unit including those on the outside of the ENSA ENUN 32P cask’s body, the cask’s cradle, and ultimately the railcar or any other transport platform.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After installing the test upper end components, the ENSA technicians will move the ENSA ENUN 32P cask from its vertical loading station to rest horizontally on its transport cradle and install the surrogate lower impact limiter. On the transport cradle at the ENSA facility in Maliaño (Cantabria), Spain, ENSA and SNL technicians will install accelerometers at locations on the external surfaces of the cask body and transport cradle. These locations were informed by computer simulations conducted at PNNL. Similarly, strain gauges will be installed on the transport cradle.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specifications for the accelerometers and strain gauges that will be installed on the external surface of the ENSA ENUN 32P cask and on its transport cradle will be developed as part of the testing work scope for FY17. </w:t>
      </w:r>
    </w:p>
    <w:p>
      <w:pPr>
        <w:tabs>
          <w:tab w:val="left" w:pos="180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tabs>
          <w:tab w:val="left" w:pos="180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keepNext w:val="true"/>
        <w:numPr>
          <w:ilvl w:val="0"/>
          <w:numId w:val="136"/>
        </w:numPr>
        <w:tabs>
          <w:tab w:val="left" w:pos="540" w:leader="none"/>
        </w:tabs>
        <w:spacing w:before="0" w:after="360" w:line="240"/>
        <w:ind w:right="0" w:left="0" w:firstLine="0"/>
        <w:jc w:val="left"/>
        <w:rPr>
          <w:rFonts w:ascii="Arial" w:hAnsi="Arial" w:cs="Arial" w:eastAsia="Arial"/>
          <w:b/>
          <w:caps w:val="true"/>
          <w:color w:val="auto"/>
          <w:spacing w:val="0"/>
          <w:position w:val="0"/>
          <w:sz w:val="28"/>
          <w:shd w:fill="auto" w:val="clear"/>
        </w:rPr>
      </w:pPr>
      <w:r>
        <w:rPr>
          <w:rFonts w:ascii="Arial" w:hAnsi="Arial" w:cs="Arial" w:eastAsia="Arial"/>
          <w:b/>
          <w:caps w:val="true"/>
          <w:color w:val="auto"/>
          <w:spacing w:val="0"/>
          <w:position w:val="0"/>
          <w:sz w:val="28"/>
          <w:shd w:fill="auto" w:val="clear"/>
        </w:rPr>
        <w:t xml:space="preserve">Assemble and Test ENSA ENUN 32P Cask Test Unit with Installed Data Acquisition, Control System and SAVEM System at ENSA</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After placing surrogate and dummy fuel assemblies into the ENSA ENUN 32P cask, installing the test lid and surrogate upper impact limiter, moving the assembled ENSA ENUN 32P cask onto the transport cradle, and installing the surrogate lower impact limiter and external instrument sensors, SNL and ENSA staff members will attach the power supply and DAC storage housing (to be designed by ENSA and SNL) to the transport cradle. The power supply and DAC storage housing configuration is still being discussed. It may attach to the transport cradle’s cask top end or be distributed across the cask cradle to better distribute the load. For perspective, the outer lid of another ENSA cask design (ENSA-DPT) is on the visible end of the cask shown on a transport cradle in Figure 8-1. This figure is only for information and is not representative of the ENSA ENUN 32P design.  </w:t>
      </w:r>
    </w:p>
    <w:p>
      <w:pPr>
        <w:tabs>
          <w:tab w:val="left" w:pos="180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180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6258" w:dyaOrig="3438">
          <v:rect xmlns:o="urn:schemas-microsoft-com:office:office" xmlns:v="urn:schemas-microsoft-com:vml" id="rectole0000000006" style="width:312.900000pt;height:171.9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tabs>
          <w:tab w:val="left" w:pos="360" w:leader="none"/>
          <w:tab w:val="left" w:pos="720" w:leader="none"/>
          <w:tab w:val="left" w:pos="1080" w:leader="none"/>
        </w:tabs>
        <w:spacing w:before="12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Figure 81.  ENSA-DPT Dual Purpose Cask on Transport Cradle</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power supply and DAC storage housing will be fabricated by SNL and pretested throughout and extended duration similar to that expected in the North American railroad trip(s). SNL will then shipp it to ENSA with the instrumented surrogate assemblies, and it will be attached to the ENSA ENUN 32P cask’s transport cradle at ENSA’s facility in Maliaño (Cantabria), Spain.</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power supply and DAC housing will support, secure, and contain about 20 heavy-duty industrial batteries. Dimensions of the batteries are 53 cm by 28 cm by 25 cm and their weight is 70 kg each. In addition, the housing/enclosure will contain (and provide protection from weather) the DAC, the instrument panel on the cask’s top-end, the SAV-EM unit including the SAV-EM global positioning system (GPS), and instrument leads.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power supply and DAC housing must be very durable because the ENSA ENUN 32P cask will be loaded and transloaded onto and from and moved by heavy-haul trucks, ocean-going vessels, and railcars during transport tests. The structure of the housing and its attachments to the ENSA ENUN 32P cask’s cradle will be capable of supporting and securing the housing’s contents while sustaining forces imposed by </w:t>
      </w:r>
      <w:r>
        <w:rPr>
          <w:rFonts w:ascii="Times New Roman" w:hAnsi="Times New Roman" w:cs="Times New Roman" w:eastAsia="Times New Roman"/>
          <w:i/>
          <w:color w:val="auto"/>
          <w:spacing w:val="0"/>
          <w:position w:val="0"/>
          <w:sz w:val="24"/>
          <w:shd w:fill="auto" w:val="clear"/>
        </w:rPr>
        <w:t xml:space="preserve">AAR Open Top Loading Rules Standards</w:t>
      </w:r>
      <w:r>
        <w:rPr>
          <w:rFonts w:ascii="Times New Roman" w:hAnsi="Times New Roman" w:cs="Times New Roman" w:eastAsia="Times New Roman"/>
          <w:color w:val="auto"/>
          <w:spacing w:val="0"/>
          <w:position w:val="0"/>
          <w:sz w:val="24"/>
          <w:shd w:fill="auto" w:val="clear"/>
        </w:rPr>
        <w:t xml:space="preserve"> (AAR 2010) for transport on U.S. railroads.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After the housing is securely attached to the ENSA ENUN 32P cask’s transport cradle, ENSA, SNL, and SRNL technical staff will install the battery power system, DAC, battery charger, and the SAV-EM System, and conduct a full-system functional test. The SAV-EM design includes an SAV-EM satellite receiver which can receive geolocation information anywhere on earth. It allows the receiver to pick up signals deep inside buildings. The installation of all components is estimated to require 2-5 days, because each major installation step will be subject to independent test and verification that the installation(s) or connection(s) are correct, secure, and functional.</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p>
    <w:p>
      <w:pPr>
        <w:keepNext w:val="true"/>
        <w:numPr>
          <w:ilvl w:val="0"/>
          <w:numId w:val="142"/>
        </w:numPr>
        <w:tabs>
          <w:tab w:val="left" w:pos="540" w:leader="none"/>
        </w:tabs>
        <w:spacing w:before="0" w:after="360" w:line="240"/>
        <w:ind w:right="0" w:left="0" w:firstLine="0"/>
        <w:jc w:val="left"/>
        <w:rPr>
          <w:rFonts w:ascii="Arial" w:hAnsi="Arial" w:cs="Arial" w:eastAsia="Arial"/>
          <w:b/>
          <w:caps w:val="true"/>
          <w:color w:val="auto"/>
          <w:spacing w:val="0"/>
          <w:position w:val="0"/>
          <w:sz w:val="28"/>
          <w:shd w:fill="auto" w:val="clear"/>
        </w:rPr>
      </w:pPr>
      <w:r>
        <w:rPr>
          <w:rFonts w:ascii="Arial" w:hAnsi="Arial" w:cs="Arial" w:eastAsia="Arial"/>
          <w:b/>
          <w:caps w:val="true"/>
          <w:color w:val="auto"/>
          <w:spacing w:val="0"/>
          <w:position w:val="0"/>
          <w:sz w:val="28"/>
          <w:shd w:fill="auto" w:val="clear"/>
        </w:rPr>
        <w:t xml:space="preserve">ENSA/DOE Transport Cask Transportation Nodes</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section provides the details on the operations at each of the transportation nodes including the transloading operations. Included in this section are the heavy-haul truck, barge, ship, and rail transportation discussions. Section 9.1 presents a discussion of the elements of the testing that are common to the entire testing campaign. Subsequent sections present the specifics for each of the transportation nodes. Figure 9-1 provides a map of the suggested routing. Specific routes and destinations are still being evaluated. </w:t>
      </w:r>
    </w:p>
    <w:p>
      <w:pPr>
        <w:keepNext w:val="true"/>
        <w:numPr>
          <w:ilvl w:val="0"/>
          <w:numId w:val="144"/>
        </w:numPr>
        <w:tabs>
          <w:tab w:val="left" w:pos="540" w:leader="none"/>
        </w:tabs>
        <w:spacing w:before="360" w:after="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Transload ENSA ENUN 32P Cask Test Unit to Heavy-haul Truck with Road Transport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During the execution of the project work scope there are specific elements of the testing that are common to all transportation nodes (heavy-haul truck, barge, ship, and rail). Those elements are described here and are not repeated in the following sections. </w:t>
      </w:r>
    </w:p>
    <w:p>
      <w:pPr>
        <w:keepNext w:val="true"/>
        <w:numPr>
          <w:ilvl w:val="0"/>
          <w:numId w:val="146"/>
        </w:numPr>
        <w:tabs>
          <w:tab w:val="left" w:pos="540" w:leader="none"/>
        </w:tabs>
        <w:spacing w:before="360" w:after="12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SAV-EM System</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SAV-EM System is an autonomous satellite communication system that will operate independent of the ENSA ENUN 32P cask test unit’s data system (power supply and DAC). Its design includes an iridium satellite receiver which can receive geolocation information anywhere on earth. It allows the receiver to pick up signals deep inside buildings and in heavily wooded areas, unlike GPS receivers that will not work in these types of locations.  Additionally, when in operation, the DAC will transmit, via wire, a DAC clock synchronization signal and other data to be selected to the SAV-EM System which can be interrogated periodically. Currently, the project is planning for the power supply for the SAV-EM system to last 45 days with data uplinks every 12 hours. Data collection will be triggered upon encountering “off-normal” (peak or excessive )g loads and upon routine time intervals. </w:t>
      </w:r>
    </w:p>
    <w:p>
      <w:pPr>
        <w:keepNext w:val="true"/>
        <w:numPr>
          <w:ilvl w:val="0"/>
          <w:numId w:val="148"/>
        </w:numPr>
        <w:tabs>
          <w:tab w:val="left" w:pos="540" w:leader="none"/>
        </w:tabs>
        <w:spacing w:before="360" w:after="12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DAC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DAC is powered by a battery system (20 large batteries) that is designed to power the two, 40-channel DACs for up to three weeks. The batteries will require charging at least five times:upon arrival at ENSA prior to the heavy-haul truck test, before departure by barge, prior to the cross-country rail trip, upon arrival at TTCI, and when the system departs TTCI to return to ENSA. A gasoline powered battery charger will be made available at each of these locations by SNL. Scheduling should allow for approximately 34 hours to fully charge the batteries each time. The DAC is equipped with WiFi and GPS and the option to communicate select information via the SAV-EM system. The specifics of the data to be communicated are yet to be determined. In addition, the DAC will have removable hard drives. These drives will be replaced by onsite personnel after each data collection activity to ensure availability of the collected data. Hard drives are expected to be replaced after the following activities:</w:t>
      </w:r>
    </w:p>
    <w:p>
      <w:pPr>
        <w:numPr>
          <w:ilvl w:val="0"/>
          <w:numId w:val="150"/>
        </w:numPr>
        <w:tabs>
          <w:tab w:val="left" w:pos="684" w:leader="none"/>
        </w:tabs>
        <w:spacing w:before="120" w:after="0" w:line="264"/>
        <w:ind w:right="0" w:left="684" w:hanging="14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Simulated transloading activities at the ENSA facility</w:t>
      </w:r>
    </w:p>
    <w:p>
      <w:pPr>
        <w:numPr>
          <w:ilvl w:val="0"/>
          <w:numId w:val="150"/>
        </w:numPr>
        <w:tabs>
          <w:tab w:val="left" w:pos="684" w:leader="none"/>
        </w:tabs>
        <w:spacing w:before="120" w:after="0" w:line="264"/>
        <w:ind w:right="0" w:left="684" w:hanging="14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Completion of the first leg of the round-trip heavy-haul route (TBD location)</w:t>
      </w:r>
    </w:p>
    <w:p>
      <w:pPr>
        <w:numPr>
          <w:ilvl w:val="0"/>
          <w:numId w:val="150"/>
        </w:numPr>
        <w:tabs>
          <w:tab w:val="left" w:pos="684" w:leader="none"/>
        </w:tabs>
        <w:spacing w:before="120" w:after="0" w:line="264"/>
        <w:ind w:right="0" w:left="432" w:hanging="144"/>
        <w:jc w:val="left"/>
        <w:rPr>
          <w:rFonts w:ascii="Times New Roman" w:hAnsi="Times New Roman" w:cs="Times New Roman" w:eastAsia="Times New Roman"/>
          <w:color w:val="auto"/>
          <w:spacing w:val="0"/>
          <w:position w:val="0"/>
          <w:sz w:val="24"/>
          <w:shd w:fill="auto" w:val="clear"/>
        </w:rPr>
      </w:pPr>
    </w:p>
    <w:p>
      <w:pPr>
        <w:numPr>
          <w:ilvl w:val="0"/>
          <w:numId w:val="150"/>
        </w:numPr>
        <w:tabs>
          <w:tab w:val="left" w:pos="684" w:leader="none"/>
        </w:tabs>
        <w:spacing w:before="120" w:after="0" w:line="264"/>
        <w:ind w:right="0" w:left="432" w:hanging="144"/>
        <w:jc w:val="left"/>
        <w:rPr>
          <w:rFonts w:ascii="Times New Roman" w:hAnsi="Times New Roman" w:cs="Times New Roman" w:eastAsia="Times New Roman"/>
          <w:color w:val="auto"/>
          <w:spacing w:val="0"/>
          <w:position w:val="0"/>
          <w:sz w:val="24"/>
          <w:shd w:fill="auto" w:val="clear"/>
        </w:rPr>
      </w:pPr>
    </w:p>
    <w:p>
      <w:pPr>
        <w:numPr>
          <w:ilvl w:val="0"/>
          <w:numId w:val="150"/>
        </w:numPr>
        <w:tabs>
          <w:tab w:val="left" w:pos="684" w:leader="none"/>
        </w:tabs>
        <w:spacing w:before="120" w:after="0" w:line="264"/>
        <w:ind w:right="0" w:left="144" w:hanging="144"/>
        <w:jc w:val="left"/>
        <w:rPr>
          <w:rFonts w:ascii="Times New Roman" w:hAnsi="Times New Roman" w:cs="Times New Roman" w:eastAsia="Times New Roman"/>
          <w:color w:val="auto"/>
          <w:spacing w:val="0"/>
          <w:position w:val="0"/>
          <w:sz w:val="24"/>
          <w:shd w:fill="auto" w:val="clear"/>
        </w:rPr>
      </w:pPr>
      <w:r>
        <w:object w:dxaOrig="12717" w:dyaOrig="4638">
          <v:rect xmlns:o="urn:schemas-microsoft-com:office:office" xmlns:v="urn:schemas-microsoft-com:vml" id="rectole0000000007" style="width:635.850000pt;height:231.9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tabs>
          <w:tab w:val="left" w:pos="360" w:leader="none"/>
          <w:tab w:val="left" w:pos="720" w:leader="none"/>
          <w:tab w:val="left" w:pos="1080" w:leader="none"/>
        </w:tabs>
        <w:spacing w:before="120" w:after="120" w:line="240"/>
        <w:ind w:right="0" w:left="144"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Figure .  The Route of the ENSA Cask Test Unit from Spain to Colorado</w:t>
      </w:r>
    </w:p>
    <w:p>
      <w:pPr>
        <w:numPr>
          <w:ilvl w:val="0"/>
          <w:numId w:val="154"/>
        </w:numPr>
        <w:tabs>
          <w:tab w:val="left" w:pos="684" w:leader="none"/>
        </w:tabs>
        <w:spacing w:before="120" w:after="0" w:line="264"/>
        <w:ind w:right="0" w:left="432" w:hanging="144"/>
        <w:jc w:val="left"/>
        <w:rPr>
          <w:rFonts w:ascii="Times New Roman" w:hAnsi="Times New Roman" w:cs="Times New Roman" w:eastAsia="Times New Roman"/>
          <w:color w:val="auto"/>
          <w:spacing w:val="0"/>
          <w:position w:val="0"/>
          <w:sz w:val="24"/>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156"/>
        </w:numPr>
        <w:tabs>
          <w:tab w:val="left" w:pos="684" w:leader="none"/>
        </w:tabs>
        <w:spacing w:before="120" w:after="0" w:line="264"/>
        <w:ind w:right="0" w:left="720" w:hanging="432"/>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Completion of the second leg of the heavy-haul route (either at ENSA facilities or at the Port of Santander, Spain)</w:t>
      </w:r>
    </w:p>
    <w:p>
      <w:pPr>
        <w:numPr>
          <w:ilvl w:val="0"/>
          <w:numId w:val="156"/>
        </w:numPr>
        <w:tabs>
          <w:tab w:val="left" w:pos="684" w:leader="none"/>
        </w:tabs>
        <w:spacing w:before="120" w:after="0" w:line="264"/>
        <w:ind w:right="0" w:left="720" w:hanging="432"/>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 the completion of the barge shipment to a European shipping port if access is provided (currently Belgium)</w:t>
      </w:r>
    </w:p>
    <w:p>
      <w:pPr>
        <w:numPr>
          <w:ilvl w:val="0"/>
          <w:numId w:val="156"/>
        </w:numPr>
        <w:tabs>
          <w:tab w:val="left" w:pos="684" w:leader="none"/>
        </w:tabs>
        <w:spacing w:before="120" w:after="0" w:line="264"/>
        <w:ind w:right="0" w:left="684" w:hanging="14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Upon entry into the United States at the Port of Baltimore, Maryland</w:t>
      </w:r>
    </w:p>
    <w:p>
      <w:pPr>
        <w:numPr>
          <w:ilvl w:val="0"/>
          <w:numId w:val="156"/>
        </w:numPr>
        <w:tabs>
          <w:tab w:val="left" w:pos="684" w:leader="none"/>
        </w:tabs>
        <w:spacing w:before="120" w:after="0" w:line="264"/>
        <w:ind w:right="0" w:left="684" w:hanging="14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Upon arrival at the TTCI facilities in Pueblo, Colorado</w:t>
      </w:r>
    </w:p>
    <w:p>
      <w:pPr>
        <w:numPr>
          <w:ilvl w:val="0"/>
          <w:numId w:val="156"/>
        </w:numPr>
        <w:tabs>
          <w:tab w:val="left" w:pos="684" w:leader="none"/>
        </w:tabs>
        <w:spacing w:before="120" w:after="0" w:line="264"/>
        <w:ind w:right="0" w:left="684" w:hanging="14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Upon completion of testing at the TTCI facilities or periodically during the tests</w:t>
      </w:r>
    </w:p>
    <w:p>
      <w:pPr>
        <w:numPr>
          <w:ilvl w:val="0"/>
          <w:numId w:val="156"/>
        </w:numPr>
        <w:tabs>
          <w:tab w:val="left" w:pos="684" w:leader="none"/>
        </w:tabs>
        <w:spacing w:before="120" w:after="0" w:line="264"/>
        <w:ind w:right="0" w:left="684" w:hanging="14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Upon arrival at the Port of Baltimore, Maryland for the return trip to ENSA.</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Before beginning any data collection at each location, power to the DAC system will be turned on and the system’s functions will be initialized to test the system. In addition, the SAV-EM satellite communication system will be tested to ensure communication with the DAC and with the satellite system. Although there is communication between the DAC and the SAV-EM system, they are powered independently. The DAC will be programmed to power and sample the test unit’s instrument sensors during travel while the unit is in motion and during all operations (including rail classification yard operations) that could be incidental to and include stopping and starting. Note that (in railroad yards) a significant longitudinal coupling event may occur at any time including sometimes lengthy period of zero movement.</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Transload operations at ENSA’s facility and heavy-haul truck shipments from ENSA’s facility and road transport in Spain will provide data about the effects of shock and vibration during handling and transportation for the heavy-haul truck mode of transportation. The European transload and heavy-haul truck operations planned for the Project are expected to be similar to future transload and intermodal transportation operations involving shipments of spent nuclear fuel expected to occur in the United States. In addition to understanding of the effects of shock and vibration from normal conditions of transportation, it will be important to understand the shock and vibration effects of handling-to-load and loading (or transloading) a cask and its transport cradle to and from transport vehicles, including heavy-haul trucks, barges and ships, and railcars.</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first shock and vibration data to be collected will be produced while lifting the ENSA ENUN 32P cask test unit from the ENSA facility’s shop floor and lowering it onto the heavy-haul truck trailer. In addition to the initial lifting and loading on to the heavy-haul truck the cask may be lifted and lowered a number of times to simulate a range of transloading and dry cask storage handling events.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After the ENSA ENUN 32P cask test unit has been secured to the heavy-haul trailer, shock and vibration data recorded during the loading/dry cask storage handling operations will be obtained by removing the hard drive and replacing it with new hard drive for the heavy-haul truck portion of the test. Selected signals detected by sensors connected to the SAV-EM system along with the time, based on the time reported to the SAV-EM System by the DAC, and the power supply’s charge status will be reported through the SAV-EM System’s network during the entirety of the testing.</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 a destination, yet to be determined, heavy-haul truck shock and vibration data will be recorded from Maliaño (Cantabria), Spain. Upon arrival, shock and vibration data recorded during the heavy-haul truck transport will be obtained by removing the hard drives from the system and replacing them with new hard drives. Given the (short) expected distance traveled and the expected drain rate of the DAC the system will not need to be recharged for the return trip to the ENSA facility in Santander. The ENSA ENUN 32P test unit will again be inspected and prepared for the heavy-haul truck shipment from the destination to the ENSA facility or to the Port of Santander, Spain. In addition, the DAC system will be reinitialized to prepare it to collect test data during this second phase of heavy-haul shipments. Any repairs to the housing or instrument lead securements that may be needed will also be made.</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Following the road travel by heavy-haul truck to the Port of Santander, Spain, the shock and vibration data recorded during the heavy-haul truck transport will be retrieved by removing the hard drive from the DAC. The hard drives will be replaced with new hard drives for the trip from the Port of Santander.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will occur before the ENSA ENUN 32P cask test unit is loaded onto a roll on/roll off (RO/RO) ship using the same heavy-haul trailer (the same heavy-haul trailer would be used as the RO/RO vehicle for loading and transport of the ENSA ENUN 32P cask test unit onto the RO/RO ship).  The hard drives will be replaced with new hard drives for the trip from the Port of Santander to the Port of Baltimore.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Before the unit is loaded onto the RO/RO ship (no project staff will be allowed to go inside the ship) at the Port of Santander, ENSA, and SNL technical staff will thoroughly inspect the ENSA ENUN 32P cask test unit’s housing, power supply, DAC, SAV-EM system, and the general functional integrity of instrument leads and external sensors. Any necessary reinforcements or repairs will be made at that time.</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9-1 provides a summary of major land transportation activities that will occur as the ENSA ENUN 32P cask test unit is relocated to prepare for the ocean journey:</w:t>
      </w:r>
    </w:p>
    <w:p>
      <w:pPr>
        <w:numPr>
          <w:ilvl w:val="0"/>
          <w:numId w:val="161"/>
        </w:numPr>
        <w:tabs>
          <w:tab w:val="left" w:pos="360" w:leader="none"/>
          <w:tab w:val="left" w:pos="720" w:leader="none"/>
          <w:tab w:val="left" w:pos="1080" w:leader="none"/>
        </w:tabs>
        <w:spacing w:before="240" w:after="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Transloaded and shipped by heavy-haul truck from the ENSA facility at Maliaño (Cantabria), Spain to a destination to be determined (TBD).</w:t>
      </w:r>
    </w:p>
    <w:p>
      <w:pPr>
        <w:numPr>
          <w:ilvl w:val="0"/>
          <w:numId w:val="161"/>
        </w:numPr>
        <w:tabs>
          <w:tab w:val="left" w:pos="360" w:leader="none"/>
          <w:tab w:val="left" w:pos="720" w:leader="none"/>
          <w:tab w:val="left" w:pos="1080" w:leader="none"/>
        </w:tabs>
        <w:spacing w:before="240" w:after="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Shipped from destination (TBD) back to the ENSA facility by heavy-haul truck or to the port of Santander, Spain.</w:t>
      </w:r>
    </w:p>
    <w:p>
      <w:pPr>
        <w:numPr>
          <w:ilvl w:val="0"/>
          <w:numId w:val="161"/>
        </w:numPr>
        <w:tabs>
          <w:tab w:val="left" w:pos="360" w:leader="none"/>
          <w:tab w:val="left" w:pos="720" w:leader="none"/>
          <w:tab w:val="left" w:pos="1080" w:leader="none"/>
        </w:tabs>
        <w:spacing w:before="240" w:after="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 the Port of Santander, Spain, loaded onto a RO/RO ship or European coastal transport to the Port of Zeebrugge, Belgium (TBV).</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360" w:leader="none"/>
          <w:tab w:val="left" w:pos="720" w:leader="none"/>
          <w:tab w:val="left" w:pos="1080" w:leader="none"/>
        </w:tabs>
        <w:spacing w:before="12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  Major Activities for Over-the-Road Transportation in Spain of the ENSA ENUN 32P Cask Test Unit</w:t>
      </w:r>
    </w:p>
    <w:tbl>
      <w:tblPr/>
      <w:tblGrid>
        <w:gridCol w:w="1864"/>
        <w:gridCol w:w="7486"/>
      </w:tblGrid>
      <w:tr>
        <w:trPr>
          <w:trHeight w:val="1" w:hRule="atLeast"/>
          <w:jc w:val="left"/>
          <w:cantSplit w:val="1"/>
        </w:trPr>
        <w:tc>
          <w:tcPr>
            <w:tcW w:w="186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Activity</w:t>
            </w:r>
          </w:p>
        </w:tc>
        <w:tc>
          <w:tcPr>
            <w:tcW w:w="748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Description</w:t>
            </w:r>
          </w:p>
        </w:tc>
      </w:tr>
      <w:tr>
        <w:trPr>
          <w:trHeight w:val="1" w:hRule="atLeast"/>
          <w:jc w:val="left"/>
        </w:trPr>
        <w:tc>
          <w:tcPr>
            <w:tcW w:w="186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 Charge Power Supply Batteries</w:t>
            </w:r>
          </w:p>
        </w:tc>
        <w:tc>
          <w:tcPr>
            <w:tcW w:w="748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Batteries used to provide power to the ENSA ENUN 32P cask test unit’s DAC and instrument sensors will be fully charged.</w:t>
            </w:r>
          </w:p>
        </w:tc>
      </w:tr>
      <w:tr>
        <w:trPr>
          <w:trHeight w:val="1" w:hRule="atLeast"/>
          <w:jc w:val="left"/>
        </w:trPr>
        <w:tc>
          <w:tcPr>
            <w:tcW w:w="186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 Readiness Review</w:t>
            </w:r>
          </w:p>
        </w:tc>
        <w:tc>
          <w:tcPr>
            <w:tcW w:w="748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ENSA/DOE Project team will conduct a review of the readiness of the ENSA ENUN 32P cask test unit, the heavy-haul truck transporter, and the accompanying technical and operations personnel for the transload and heavy-haul transport of the ENSA-32 cask test unit to a TBD destination and subsequent return travel to the Port of Santander, Spain.</w:t>
            </w:r>
          </w:p>
        </w:tc>
      </w:tr>
      <w:tr>
        <w:trPr>
          <w:trHeight w:val="1" w:hRule="atLeast"/>
          <w:jc w:val="left"/>
        </w:trPr>
        <w:tc>
          <w:tcPr>
            <w:tcW w:w="186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 Initialize DAC and SAV-EM System</w:t>
            </w:r>
          </w:p>
        </w:tc>
        <w:tc>
          <w:tcPr>
            <w:tcW w:w="748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Proper functioning of the DAC, SAV-EM system, and instrumentation will have been verified prior to the readiness review. This will be the first operational startup of the DAC, SAV-EM system, and the ENSA ENUN 32P cask test unit’s instrumentation.</w:t>
            </w:r>
          </w:p>
        </w:tc>
      </w:tr>
      <w:tr>
        <w:trPr>
          <w:trHeight w:val="1" w:hRule="atLeast"/>
          <w:jc w:val="left"/>
        </w:trPr>
        <w:tc>
          <w:tcPr>
            <w:tcW w:w="186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 Transload to Heavy-Haul Truck</w:t>
            </w:r>
          </w:p>
        </w:tc>
        <w:tc>
          <w:tcPr>
            <w:tcW w:w="748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ENSA ENUN 32P cask test unit will be lifted using an overhead or mobile crane, placed onto, then secured to the payload deck of the heavy-haul truck’s trailer. This step may be repeated to obtain additional data on the simulation of transloading or dry cask storage movements. </w:t>
            </w:r>
          </w:p>
        </w:tc>
      </w:tr>
      <w:tr>
        <w:trPr>
          <w:trHeight w:val="1" w:hRule="atLeast"/>
          <w:jc w:val="left"/>
        </w:trPr>
        <w:tc>
          <w:tcPr>
            <w:tcW w:w="186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 Obtain DAC Data </w:t>
            </w:r>
          </w:p>
        </w:tc>
        <w:tc>
          <w:tcPr>
            <w:tcW w:w="748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After the ENSA ENUN 32P cask test unit is transloaded onto the heavy-haul trailer, the hard drives containing the data will be removed and replaced with new hard drives. At this time the DAC will be reinitialized. In addition, selected data recorded by sensors monitored by the SAV-EM System will be reported by the system along with the corresponding DAC-based synchronizing clock-time record.</w:t>
            </w:r>
          </w:p>
        </w:tc>
      </w:tr>
      <w:tr>
        <w:trPr>
          <w:trHeight w:val="1" w:hRule="atLeast"/>
          <w:jc w:val="left"/>
        </w:trPr>
        <w:tc>
          <w:tcPr>
            <w:tcW w:w="186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 Heavy-haul Truck Transport to TBD</w:t>
            </w:r>
          </w:p>
        </w:tc>
        <w:tc>
          <w:tcPr>
            <w:tcW w:w="748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ENSA ENUN 32P cask test unit will be transported by heavy-haul truck from the ENSA facility at Maliaño (Cantabria), Spain to TBD, a distance of TBD km. The DAC will record shock and vibration incident to heavy-haul truck transport during the shipment. The SAV-EM system will transmit location information synchronized with the DAC clock-time, and selected data from the sensors it is connected to on the test unit.</w:t>
            </w:r>
          </w:p>
        </w:tc>
      </w:tr>
      <w:tr>
        <w:trPr>
          <w:trHeight w:val="1" w:hRule="atLeast"/>
          <w:jc w:val="left"/>
        </w:trPr>
        <w:tc>
          <w:tcPr>
            <w:tcW w:w="186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7. Obtain DAC Data</w:t>
            </w:r>
          </w:p>
        </w:tc>
        <w:tc>
          <w:tcPr>
            <w:tcW w:w="748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After the ENSA ENUN 32P cask test unit has completed travel from the ENSA facility to the TBD destination on the heavy-haul truck, the DAC hard drives will be removed and replaced to secure the heavy-haul routing data and the DAC will be reinitialized. </w:t>
            </w:r>
          </w:p>
        </w:tc>
      </w:tr>
      <w:tr>
        <w:trPr>
          <w:trHeight w:val="1" w:hRule="atLeast"/>
          <w:jc w:val="left"/>
        </w:trPr>
        <w:tc>
          <w:tcPr>
            <w:tcW w:w="186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 Inspect the Test Unit</w:t>
            </w:r>
          </w:p>
        </w:tc>
        <w:tc>
          <w:tcPr>
            <w:tcW w:w="748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DAC and instrumentation components of the test unit will be inspected to ensure their readiness and integrity for continued operation.</w:t>
            </w:r>
          </w:p>
        </w:tc>
      </w:tr>
      <w:tr>
        <w:trPr>
          <w:trHeight w:val="1" w:hRule="atLeast"/>
          <w:jc w:val="left"/>
        </w:trPr>
        <w:tc>
          <w:tcPr>
            <w:tcW w:w="186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 Readiness Review</w:t>
            </w:r>
          </w:p>
        </w:tc>
        <w:tc>
          <w:tcPr>
            <w:tcW w:w="748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ENSA/DOE project team will conduct a review of the readiness of the ENSA ENUN 32P cask test unit, the heavy-haul truck transporter for the return trip of the heavy-haul transport of the ENSA ENUN 32P cask test unit from the TBD location to the ENSA facility or to the Port of Santander, Spain.</w:t>
            </w:r>
          </w:p>
        </w:tc>
      </w:tr>
    </w:tbl>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91.  (contd.)</w:t>
      </w:r>
    </w:p>
    <w:tbl>
      <w:tblPr/>
      <w:tblGrid>
        <w:gridCol w:w="1864"/>
        <w:gridCol w:w="7486"/>
      </w:tblGrid>
      <w:tr>
        <w:trPr>
          <w:trHeight w:val="1" w:hRule="atLeast"/>
          <w:jc w:val="left"/>
          <w:cantSplit w:val="1"/>
        </w:trPr>
        <w:tc>
          <w:tcPr>
            <w:tcW w:w="186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Activity</w:t>
            </w:r>
          </w:p>
        </w:tc>
        <w:tc>
          <w:tcPr>
            <w:tcW w:w="748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Description</w:t>
            </w:r>
          </w:p>
        </w:tc>
      </w:tr>
      <w:tr>
        <w:trPr>
          <w:trHeight w:val="1" w:hRule="atLeast"/>
          <w:jc w:val="left"/>
        </w:trPr>
        <w:tc>
          <w:tcPr>
            <w:tcW w:w="186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10. Heavy-Haul Truck Transport (back to ENSA or directly to Port of Santander</w:t>
            </w:r>
          </w:p>
        </w:tc>
        <w:tc>
          <w:tcPr>
            <w:tcW w:w="748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ENSA ENUN 32P cask test unit will be transported by heavy-haul truck from the TBD location in Spain back to ENSA or directly to the Port of Santander, Spain a distance of about TBD km. The DAC will record shock and vibration incident to heavy-haul truck transport during the shipment. The SAV-EM System will transmit location information synchronized with the DAC clock-time as well as selected data from sensors it is connected to on the test unit.</w:t>
            </w:r>
          </w:p>
        </w:tc>
      </w:tr>
      <w:tr>
        <w:trPr>
          <w:trHeight w:val="1" w:hRule="atLeast"/>
          <w:jc w:val="left"/>
        </w:trPr>
        <w:tc>
          <w:tcPr>
            <w:tcW w:w="186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11. Obtain DAC Data</w:t>
            </w:r>
          </w:p>
        </w:tc>
        <w:tc>
          <w:tcPr>
            <w:tcW w:w="748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After the ENSA ENUN 32P cask test unit has completed travel from the TBD location in Spain to ENSA or the Port of Santander on the heavy-haul truck (and before direct movement onto a RO/RO ship), the DAC hard drives will be removed and replaced to secure the heavy-haul truck data. The DAC will be reinitialized. A checklist will be used to ensure that important inspections, preparation steps, or maintenance are not overlooked.</w:t>
            </w:r>
          </w:p>
        </w:tc>
      </w:tr>
      <w:tr>
        <w:trPr>
          <w:trHeight w:val="1" w:hRule="atLeast"/>
          <w:jc w:val="left"/>
        </w:trPr>
        <w:tc>
          <w:tcPr>
            <w:tcW w:w="186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12. Charge Power Supply Batteries</w:t>
            </w:r>
          </w:p>
        </w:tc>
        <w:tc>
          <w:tcPr>
            <w:tcW w:w="748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At ENSA or the Port of Santander, following the heavy-haul truck shipment, the batteries used to provide power to the test unit’s DAC and instrument sensors will be fully charged.</w:t>
            </w:r>
          </w:p>
        </w:tc>
      </w:tr>
      <w:tr>
        <w:trPr>
          <w:trHeight w:val="1" w:hRule="atLeast"/>
          <w:jc w:val="left"/>
        </w:trPr>
        <w:tc>
          <w:tcPr>
            <w:tcW w:w="9350" w:type="dxa"/>
            <w:gridSpan w:val="2"/>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64"/>
              <w:ind w:right="0" w:left="0" w:firstLine="0"/>
              <w:jc w:val="left"/>
              <w:rPr>
                <w:rFonts w:ascii="Calibri" w:hAnsi="Calibri" w:cs="Calibri" w:eastAsia="Calibri"/>
                <w:color w:val="auto"/>
                <w:spacing w:val="0"/>
                <w:position w:val="0"/>
                <w:sz w:val="22"/>
                <w:shd w:fill="auto" w:val="clear"/>
              </w:rPr>
            </w:pPr>
          </w:p>
        </w:tc>
      </w:tr>
    </w:tbl>
    <w:p>
      <w:pPr>
        <w:keepNext w:val="true"/>
        <w:numPr>
          <w:ilvl w:val="0"/>
          <w:numId w:val="200"/>
        </w:numPr>
        <w:tabs>
          <w:tab w:val="left" w:pos="540" w:leader="none"/>
        </w:tabs>
        <w:spacing w:before="360" w:after="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 Ocean Transport ENSA ENUN 32P Cask Test Unit from Santander to Baltimore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Another major objective of the project is recording shock and vibration data that is incident to used nuclear fuel during maritime transportation. Such shock and vibration will be recorded during coastal shipment of the ENSA ENUN 32P cask test unit from the Port of Santander, Spain to the Port of Zeebrugge, Belgium (TBV) continuing  by larger ocean vessel from Zeebrugge (TBV) to the Port of Baltimore, Maryland (TBV).</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After being secured aboard a coastal freight carrier at the Port of Santander, Spain, the ENSA ENUN 32P cask test unit will operate autonomously without external power and unattended until arrival at the Port of Zebrugge, Belgium (TBV).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ENSA ENUN 32P cask test unit will arrive on a heavy-haul platform and will be picked up off the RO/RO vessel to the port terminal. The test unit on its heavy-haul platform will be moved by Zeebrugge port workers to be staged for loading onto a 30-ft MAFI with a suitable crane. The destination of the ocean freight carrier is expected to be the Port of Baltimore, Maryland (TBV). In the interim, between its arrival at the Port of Zeebrugge and departure from this port, personnel representing the ENSA/DOE team and ENSA’s freight forwarding contractor (TBD), will: retrieve data, replace the hard drives on the test unit’s DAC, and recharge the power supply batteries.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Also before the test unit is loaded onto the merchant vessel for the Atlantic Ocean crossing, power to the DAC system will be turned on and the system’s functions will be initialized to prepare to collect ocean-crossing test data between the Port of Zeebrugge, Belgium, and the Port of Baltimore, Maryland (TBV). In addition, at the Port of Zeebrugge before the test unit is shipped to the United States, ENSA/DOE team’s technical staff will thoroughly inspect the test unit’s housing, power supply, DAC, and SAV-EM systems, as well as the general functional integrity of instrument leads and external sensors. Any reinforcements or repairs that can be made will be made at that time.</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Advanced arrangements by the forwarder will be made with authorities at the Port of Zeebrugge to permit designated personnel access to, and perform work on, the test unit, which will be considered to be freight in transit to the United States. Spare parts, replacement components (e.g., batteries, instrument leads, connectors, housing cover sections, etc.) and a portable generator to charge the batteries will be brought to the port by the ENSA/DOE team.</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9-2 provides a summary of the major activities that will occur during or for the European coastal and Atlantic Ocean transport of the ENSA ENUN 32P cask test unit from Santander, Spain to Baltimore, Maryland (TBV), United States .</w:t>
      </w:r>
    </w:p>
    <w:p>
      <w:pPr>
        <w:keepNext w:val="true"/>
        <w:tabs>
          <w:tab w:val="left" w:pos="360" w:leader="none"/>
          <w:tab w:val="left" w:pos="720" w:leader="none"/>
          <w:tab w:val="left" w:pos="1080" w:leader="none"/>
        </w:tabs>
        <w:spacing w:before="240" w:after="120" w:line="240"/>
        <w:ind w:right="0" w:left="1037" w:hanging="1037"/>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  Major Activities During European Coastal and Atlantic Ocean Transport of the ENSA ENUN 32P Cask Test Unit</w:t>
      </w:r>
    </w:p>
    <w:tbl>
      <w:tblPr/>
      <w:tblGrid>
        <w:gridCol w:w="2496"/>
        <w:gridCol w:w="6854"/>
      </w:tblGrid>
      <w:tr>
        <w:trPr>
          <w:trHeight w:val="1" w:hRule="atLeast"/>
          <w:jc w:val="left"/>
          <w:cantSplit w:val="1"/>
        </w:trPr>
        <w:tc>
          <w:tcPr>
            <w:tcW w:w="249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Activity</w:t>
            </w:r>
          </w:p>
        </w:tc>
        <w:tc>
          <w:tcPr>
            <w:tcW w:w="685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Description</w:t>
            </w:r>
          </w:p>
        </w:tc>
      </w:tr>
      <w:tr>
        <w:trPr>
          <w:trHeight w:val="1" w:hRule="atLeast"/>
          <w:jc w:val="left"/>
        </w:trPr>
        <w:tc>
          <w:tcPr>
            <w:tcW w:w="249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 Santander to Zeebrugge Coastal Transit</w:t>
            </w:r>
          </w:p>
        </w:tc>
        <w:tc>
          <w:tcPr>
            <w:tcW w:w="685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During transit from Santander to Zeebrugge, the DAC will record shock and vibration originating from the coastal merchant ship the ENSA ENUN 32P cask test unit is loaded onto. The SAV-EM Satellite system will report autonomously on a prescribed schedule including the test unit’s geographic location, the clock-time reported by the DAC, and information from selected sensors.</w:t>
            </w:r>
          </w:p>
        </w:tc>
      </w:tr>
      <w:tr>
        <w:trPr>
          <w:trHeight w:val="1" w:hRule="atLeast"/>
          <w:jc w:val="left"/>
        </w:trPr>
        <w:tc>
          <w:tcPr>
            <w:tcW w:w="249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 Arrange for use of Staging Area at the Port of Zeebrugge</w:t>
            </w:r>
          </w:p>
        </w:tc>
        <w:tc>
          <w:tcPr>
            <w:tcW w:w="685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ENSA’s freight forwarding contractor will arrange for the use of a staging area that is accessible by Port of Zeebrugge’s MAFI services to allow movement of the ENSA ENUN 32P cask test unit to a location where batteries can be recharged, components replaced, repairs made (if needed), hard drives containing the coastal sea crossing data removed and replaced, and the DAC reinitialized. Lastly, the shipper will make all necessary arrangements to allow designated ENSA/DOE team’s technical staff and associated tools and equipment to have access to the Test Unit to perform work to prepare the unit for Atlantic Ocean shipment to Baltimore, Maryland.</w:t>
            </w:r>
          </w:p>
        </w:tc>
      </w:tr>
      <w:tr>
        <w:trPr>
          <w:trHeight w:val="1" w:hRule="atLeast"/>
          <w:jc w:val="left"/>
        </w:trPr>
        <w:tc>
          <w:tcPr>
            <w:tcW w:w="249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64"/>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 Transload from Coastal RO/RO Merchant Ship and At-dock Operations at Port of Zeebrugge</w:t>
            </w:r>
          </w:p>
        </w:tc>
        <w:tc>
          <w:tcPr>
            <w:tcW w:w="685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At the Port of Zeebrugge, ENSA and the shipper will arrange for ENSA/DOE team personnel to have access to the ENSA ENUN 32P cask test unit following its off-load from the coastal merchant ship and before it is loaded onto the merchant vessel that will transport it across the Atlantic Ocean. At a pre-arranged area of the Port, ENSA/DOE team’s technical personnel will inspect the ENSA ENUN 32P test unit (including the SAV-EM system), recharge batteries, replace components, and make repairs (if needed). Lastly, the hard drives from the DAC containing the coastal sea crossing data will be removed and replaced with new hard drives and the DAC will be reinitialized. Checklists will be used to help avoid overlooking important inspection, maintenance, or preparation steps.</w:t>
            </w:r>
          </w:p>
        </w:tc>
      </w:tr>
      <w:tr>
        <w:trPr>
          <w:trHeight w:val="1" w:hRule="atLeast"/>
          <w:jc w:val="left"/>
        </w:trPr>
        <w:tc>
          <w:tcPr>
            <w:tcW w:w="249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64"/>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 Load onto Atlantic Ocean Merchant Vessel at Port of Zeebrugge</w:t>
            </w:r>
          </w:p>
        </w:tc>
        <w:tc>
          <w:tcPr>
            <w:tcW w:w="685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64"/>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ENSA ENUN 32P cask test unit will be rolled directly onto an Atlantic Ocean crossing RO/RO ship at the Port of Zeebrugge, Belgium. The ENSA ENUN 32P test unit will remain on its MAFI transporter and secured at an inside deck location on board the ship. (Project personnel will not be allowed access on board the ocean going vessel.)</w:t>
            </w:r>
          </w:p>
        </w:tc>
      </w:tr>
    </w:tbl>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tbl>
      <w:tblPr/>
      <w:tblGrid>
        <w:gridCol w:w="2499"/>
        <w:gridCol w:w="6861"/>
      </w:tblGrid>
      <w:tr>
        <w:trPr>
          <w:trHeight w:val="1" w:hRule="atLeast"/>
          <w:jc w:val="left"/>
          <w:cantSplit w:val="1"/>
        </w:trPr>
        <w:tc>
          <w:tcPr>
            <w:tcW w:w="9360" w:type="dxa"/>
            <w:gridSpan w:val="2"/>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Table 9-2. (contd.)</w:t>
            </w:r>
          </w:p>
        </w:tc>
      </w:tr>
      <w:tr>
        <w:trPr>
          <w:trHeight w:val="1" w:hRule="atLeast"/>
          <w:jc w:val="left"/>
        </w:trPr>
        <w:tc>
          <w:tcPr>
            <w:tcW w:w="2499"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 Atlantic Ocean Crossing from Zeebrugge, Belgium to Baltimore, Maryland </w:t>
            </w:r>
          </w:p>
        </w:tc>
        <w:tc>
          <w:tcPr>
            <w:tcW w:w="6861"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Ship-board shock and vibration data will be recorded by sensors in the ENSA ENUN 32P cask test unit that are monitored by the DAC and the SAV-EM System.  The ENSA ENUN 32P test unit’s onboard SAV-EM unit will report information it records during the Atlantic Ocean crossing to SAV-EM System satellites along with the corresponding DAC-based synchronizing clock-time record.</w:t>
            </w:r>
          </w:p>
        </w:tc>
      </w:tr>
      <w:tr>
        <w:trPr>
          <w:trHeight w:val="1" w:hRule="atLeast"/>
          <w:jc w:val="left"/>
        </w:trPr>
        <w:tc>
          <w:tcPr>
            <w:tcW w:w="9360" w:type="dxa"/>
            <w:gridSpan w:val="2"/>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64"/>
              <w:ind w:right="0" w:left="0" w:firstLine="0"/>
              <w:jc w:val="left"/>
              <w:rPr>
                <w:rFonts w:ascii="Calibri" w:hAnsi="Calibri" w:cs="Calibri" w:eastAsia="Calibri"/>
                <w:color w:val="auto"/>
                <w:spacing w:val="0"/>
                <w:position w:val="0"/>
                <w:sz w:val="22"/>
                <w:shd w:fill="auto" w:val="clear"/>
              </w:rPr>
            </w:pPr>
          </w:p>
        </w:tc>
      </w:tr>
    </w:tbl>
    <w:p>
      <w:pPr>
        <w:keepNext w:val="true"/>
        <w:numPr>
          <w:ilvl w:val="0"/>
          <w:numId w:val="226"/>
        </w:numPr>
        <w:tabs>
          <w:tab w:val="left" w:pos="540" w:leader="none"/>
        </w:tabs>
        <w:spacing w:before="360" w:after="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Configure ENSA ENUN 32P Cask Test Unit in Baltimore for Rail Shipment to TTCI</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During this phase of the test the ENSA ENUN 32P cask and railcar will be prepared for cross country shipment to TTCI near Pueblo, Colorado. The ENSA freight forwarding contractor will contract for a suitable staging area at or near the Port of Baltimore to which the port’s MAFI services will move the ENSA ENUN 32P cask test unit (and ancillary equipment) following completion of import clearance requirements and off-loading of the test unit from its ocean freight carrier’s ship. At the staging area the Baltimore port’s MAFI services will load the ENSA ENUN 32P cask test unit onto a railcar.  At this time, additional sensors will be added to the railcar. After transfer of the test unit to the railcar, tri-axial accelerometers (at the A and B ends of the railcar) and instrument leads that connect these accelerometer sensors to the ENSA ENUN 32P cask test unit, will be installed. Camouflage paint will be applied to obscure the sensors and instrument leads from casual view. In addition, a sign will be placed such that a railcar worker in a yard would be informed that this is a test load, and “for immediate questions 24 hrs/day to call xxx-xxx-xxxx and ask for _______.”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Prior to the arrival of the test unit at the Port of Baltimore, agents for the shipper will arrange for the lease of a suitable 8- or 12 axle heavy-duty railcar (flatcar) that will be used to ship the ENSA ENUN 32P cask test unit from Baltimore, Maryland to the TTCI facility near Pueblo, Colorado. The railcar’s arrival will be scheduled so that it will be at the staging area and accessible by MAFI service one week before the arrival of the test unit. ENSA/DOE and the shipper will arrange for separate transport for ancillary equipment (if any) from the Port of Baltimore to the TTCI facility near Pueblo, Colorado.</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ENSA/DOE and the shipper will also arrange for and obtain the services of craft workers from the Baltimore region who will make modifications to the leased railcar’s tie-down features to secure the ENSA ENUN 32P cask test unit. These modifications must be made  according to AAR Open Top Loading Rules (2013) or potentially risk an unforeseen delay in rail movement. Modifications to the railcar’s cargo securement features will be directed by the ENSA/DOE team and the shipper with the permission of the railcar owner.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After being moved by Port of Baltimore MAFI services to the staging area, loaded, and secured onto the railcar, batteries in the ENSA ENUN 32P cask test unit’s power supply will be charged. Also at this time, the ENSA/DOE team’s staff will remove the DAC hard drives that contain port movement and ocean-crossing shock and vibration data from the DAC. New hard drives will be installed for the cross country shipment, the DAC will be reinitialized and a detailed functionality check will be performed to ensure the system is operating as expected.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9-3 provides a summary of nine major activities that will occur at or near the Port of Baltimore, Maryland (TBV) beginning before the merchant ship carrying the ENSA ENUN 32P cask test unit arrives from Zeebrugge and continuing until the Test Unit is released to a U.S. railroad company for shipment to TTCI near Pueblo, Colorado.</w:t>
      </w:r>
    </w:p>
    <w:p>
      <w:pPr>
        <w:keepNext w:val="true"/>
        <w:tabs>
          <w:tab w:val="left" w:pos="360" w:leader="none"/>
          <w:tab w:val="left" w:pos="720" w:leader="none"/>
          <w:tab w:val="left" w:pos="1080" w:leader="none"/>
        </w:tabs>
        <w:spacing w:before="240" w:after="120" w:line="240"/>
        <w:ind w:right="0" w:left="1037" w:hanging="1037"/>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  Major Activities at the Port of Baltimore to Prepare the ENSA ENUN 32P Cask Test Unit for Rail Shipment to TTCI</w:t>
      </w:r>
    </w:p>
    <w:tbl>
      <w:tblPr/>
      <w:tblGrid>
        <w:gridCol w:w="2237"/>
        <w:gridCol w:w="7113"/>
      </w:tblGrid>
      <w:tr>
        <w:trPr>
          <w:trHeight w:val="1" w:hRule="atLeast"/>
          <w:jc w:val="left"/>
          <w:cantSplit w:val="1"/>
        </w:trPr>
        <w:tc>
          <w:tcPr>
            <w:tcW w:w="2237"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Activity</w:t>
            </w:r>
          </w:p>
        </w:tc>
        <w:tc>
          <w:tcPr>
            <w:tcW w:w="7113"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Description</w:t>
            </w:r>
          </w:p>
        </w:tc>
      </w:tr>
      <w:tr>
        <w:trPr>
          <w:trHeight w:val="1" w:hRule="atLeast"/>
          <w:jc w:val="left"/>
        </w:trPr>
        <w:tc>
          <w:tcPr>
            <w:tcW w:w="2237"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 Arrange for use of Staging Area at or near the Port of Baltimore</w:t>
            </w:r>
          </w:p>
        </w:tc>
        <w:tc>
          <w:tcPr>
            <w:tcW w:w="7113"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ENSA’s freight forwarding contractor will arrange for the use of a staging area that has a rail siding or spur that accesses commercial railroads in the Baltimore area. The staging area will also be accessible by the Port of Baltimore’s MAFI services to allow delivery of the ENSA ENUN 32P cask test unit and loading of the unit onto a heavy-duty railcar. The shipper and the ENSA/DOE team will make all necessary arrangements to allow designated ENSA, PNNL, SNL, SRNL, and crafts workers and associated tools and equipment access to the test unit to perform work to prepare it for rail shipment to Pueblo, Colorado. This will require what the railroads call “Blue Flag ProtectioN” of the rail car at any times of potential human contact with the car. The staging area is required to be available as needed for inbound and outbound shipments of the test unit from the United States (assumes the Port of Baltimore will be used for outbound shipments).</w:t>
            </w:r>
          </w:p>
        </w:tc>
      </w:tr>
      <w:tr>
        <w:trPr>
          <w:trHeight w:val="1" w:hRule="atLeast"/>
          <w:jc w:val="left"/>
        </w:trPr>
        <w:tc>
          <w:tcPr>
            <w:tcW w:w="2237"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 Lease Heavy-duty Railcar</w:t>
            </w:r>
          </w:p>
        </w:tc>
        <w:tc>
          <w:tcPr>
            <w:tcW w:w="7113"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ENSA’s freight forwarding contractor  will lease a heavy-duty railcar that will be available at the staging area near the Port of Baltimore at least one week before the ENSA ENUN 32P cask test unit is delivered to the port by an Atlantic Ocean-crossing merchant ship. (The staging area will need to be available when the railcar arrives.)</w:t>
            </w:r>
          </w:p>
        </w:tc>
      </w:tr>
      <w:tr>
        <w:trPr>
          <w:trHeight w:val="1" w:hRule="atLeast"/>
          <w:jc w:val="left"/>
        </w:trPr>
        <w:tc>
          <w:tcPr>
            <w:tcW w:w="2237"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 Modify Railcar Load Securement Features</w:t>
            </w:r>
          </w:p>
        </w:tc>
        <w:tc>
          <w:tcPr>
            <w:tcW w:w="7113"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ENSA/DOE team and the shipper will arrange to have modifications made to the leased railcar if needed, to install features on the railcar for securing the test unit to the railcar in a manner that meets the requirements of the AAR Open Top Loading Rules (OTLR). The OTLR also require that a load placed on a railcar (e.g., the ENSA ENUN 32P cask test unit) be capable of meeting requirements for load integrity when being transported.)</w:t>
            </w:r>
          </w:p>
        </w:tc>
      </w:tr>
      <w:tr>
        <w:trPr>
          <w:trHeight w:val="1" w:hRule="atLeast"/>
          <w:jc w:val="left"/>
        </w:trPr>
        <w:tc>
          <w:tcPr>
            <w:tcW w:w="2237"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 Transload at Port of Baltimore, Maryland </w:t>
            </w:r>
          </w:p>
        </w:tc>
        <w:tc>
          <w:tcPr>
            <w:tcW w:w="7113"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Port of Baltimore MAFI Services will move the ENSA ENUN 32P cask test unit directly off the RO/RO trans-Atlantic merchant ship onto the ship-side dock on its RO/RO  transporter. From shipside, by prior arrangement with the ENSA/DOE team and the ENSA freight forwarding contractor, the port’s MAFI services (or another contracted service organization) will move the test unit to a prearranged staging area. </w:t>
            </w:r>
          </w:p>
        </w:tc>
      </w:tr>
      <w:tr>
        <w:trPr>
          <w:trHeight w:val="1" w:hRule="atLeast"/>
          <w:jc w:val="left"/>
        </w:trPr>
        <w:tc>
          <w:tcPr>
            <w:tcW w:w="2237"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 Load ENSA ENUN 32P Cask Test Unit onto Railcar</w:t>
            </w:r>
          </w:p>
        </w:tc>
        <w:tc>
          <w:tcPr>
            <w:tcW w:w="7113"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At the staging area on or near the Port of Baltimore the port’s MAFI services will load the test unit onto a waiting heavy-duty railcar.</w:t>
            </w:r>
          </w:p>
        </w:tc>
      </w:tr>
    </w:tbl>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tbl>
      <w:tblPr/>
      <w:tblGrid>
        <w:gridCol w:w="2240"/>
        <w:gridCol w:w="7120"/>
      </w:tblGrid>
      <w:tr>
        <w:trPr>
          <w:trHeight w:val="1" w:hRule="atLeast"/>
          <w:jc w:val="left"/>
          <w:cantSplit w:val="1"/>
        </w:trPr>
        <w:tc>
          <w:tcPr>
            <w:tcW w:w="9360" w:type="dxa"/>
            <w:gridSpan w:val="2"/>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keepNext w:val="true"/>
              <w:keepLines w:val="true"/>
              <w:tabs>
                <w:tab w:val="left" w:pos="360" w:leader="none"/>
                <w:tab w:val="left" w:pos="720" w:leader="none"/>
                <w:tab w:val="left" w:pos="1080" w:leader="none"/>
              </w:tabs>
              <w:spacing w:before="0" w:after="0" w:line="264"/>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Table 9-3. (contd.)</w:t>
            </w:r>
          </w:p>
        </w:tc>
      </w:tr>
      <w:tr>
        <w:trPr>
          <w:trHeight w:val="1" w:hRule="atLeast"/>
          <w:jc w:val="left"/>
        </w:trPr>
        <w:tc>
          <w:tcPr>
            <w:tcW w:w="2240"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Activity</w:t>
            </w:r>
          </w:p>
        </w:tc>
        <w:tc>
          <w:tcPr>
            <w:tcW w:w="7120"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Description</w:t>
            </w:r>
          </w:p>
        </w:tc>
      </w:tr>
      <w:tr>
        <w:trPr>
          <w:trHeight w:val="1" w:hRule="atLeast"/>
          <w:jc w:val="left"/>
        </w:trPr>
        <w:tc>
          <w:tcPr>
            <w:tcW w:w="2240"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64"/>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 Secure ENSA ENUN 32P Cask Test Unit to railcar for shipment to TTCI</w:t>
            </w:r>
          </w:p>
        </w:tc>
        <w:tc>
          <w:tcPr>
            <w:tcW w:w="7120"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test unit will be secured to the heavy-duty railcar and a railroad inspector will determine that the securement of the test unit and the test unit’s transportation integrity satisfy the AAR OTLR requirements. These actions will be accomplished through prior arrangements made by the ENSA/DOE team and the shipper</w:t>
            </w:r>
          </w:p>
        </w:tc>
      </w:tr>
      <w:tr>
        <w:trPr>
          <w:trHeight w:val="1" w:hRule="atLeast"/>
          <w:jc w:val="left"/>
        </w:trPr>
        <w:tc>
          <w:tcPr>
            <w:tcW w:w="2240"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7. Prepare ENSA ENUN 32P Cask Test Unit to Collect Rail Shock and Vibration Data</w:t>
            </w:r>
          </w:p>
        </w:tc>
        <w:tc>
          <w:tcPr>
            <w:tcW w:w="7120"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After the ENSA ENUN 32P cask test unit has been secured to its railcar, ENSA, Sandia, PNNL, and SRNL technical personnel will inspect the test unit (including the SAV-EM System), recharge batteries, replace components, and make repairs (if needed). Lastly, DAC hard drives will be removed and replaced to secure the Port of Baltimore movement and ocean crossing data and the DAC will be reinitialized. All railcar access will require “Blue Flag Protection” for even just a few minutes of access. Depending on the host railroad, this can require up to a ½ day to arrange. </w:t>
            </w:r>
          </w:p>
        </w:tc>
      </w:tr>
      <w:tr>
        <w:trPr>
          <w:trHeight w:val="1" w:hRule="atLeast"/>
          <w:jc w:val="left"/>
        </w:trPr>
        <w:tc>
          <w:tcPr>
            <w:tcW w:w="2240"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 Rail Shipment Readiness Review</w:t>
            </w:r>
          </w:p>
        </w:tc>
        <w:tc>
          <w:tcPr>
            <w:tcW w:w="7120"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Following completion of all individual preparations and inspections identified by a prearranged checklist and independent verifications, the ENSA/DOE team’s project leaders will conduct a rail shipment readiness review with the project team members. The purpose of the review will be to verify that all necessary actions to ensure the ENSA ENUN 32P cask test unit is properly prepared and ready for rail shipment to the TTCI facility have been completed.</w:t>
            </w:r>
          </w:p>
        </w:tc>
      </w:tr>
      <w:tr>
        <w:trPr>
          <w:trHeight w:val="1" w:hRule="atLeast"/>
          <w:jc w:val="left"/>
        </w:trPr>
        <w:tc>
          <w:tcPr>
            <w:tcW w:w="2240"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 Release ENSA ENUN 32P Cask Test Unit to Railroad for Shipment to TTCI</w:t>
            </w:r>
          </w:p>
        </w:tc>
        <w:tc>
          <w:tcPr>
            <w:tcW w:w="7120"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Following completion of the readiness review and notification by the ENSA/DOE team that the ENSA ENUN 32P cask test unit is ready to ship, the shipper will notify its contracted U.S. railroad carrier that the ENSA ENUN 32P cask test unit is available for rail company pickup at the staging area rail siding or rail spur.</w:t>
            </w:r>
          </w:p>
        </w:tc>
      </w:tr>
      <w:tr>
        <w:trPr>
          <w:trHeight w:val="1" w:hRule="atLeast"/>
          <w:jc w:val="left"/>
        </w:trPr>
        <w:tc>
          <w:tcPr>
            <w:tcW w:w="9360" w:type="dxa"/>
            <w:gridSpan w:val="2"/>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64"/>
              <w:ind w:right="0" w:left="0" w:firstLine="0"/>
              <w:jc w:val="left"/>
              <w:rPr>
                <w:rFonts w:ascii="Calibri" w:hAnsi="Calibri" w:cs="Calibri" w:eastAsia="Calibri"/>
                <w:color w:val="auto"/>
                <w:spacing w:val="0"/>
                <w:position w:val="0"/>
                <w:sz w:val="22"/>
                <w:shd w:fill="auto" w:val="clear"/>
              </w:rPr>
            </w:pPr>
          </w:p>
        </w:tc>
      </w:tr>
    </w:tbl>
    <w:p>
      <w:pPr>
        <w:keepNext w:val="true"/>
        <w:numPr>
          <w:ilvl w:val="0"/>
          <w:numId w:val="262"/>
        </w:numPr>
        <w:tabs>
          <w:tab w:val="left" w:pos="540" w:leader="none"/>
        </w:tabs>
        <w:spacing w:before="360" w:after="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Ship ENSA ENUN 32P Cask Test Unit from Port of Baltimore to TTCI</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During this phase, shock and vibration data will be collected to simulate future transport of spent nuclear fuel by railroads in the United States. This phase will record the more than 1,500-mile rail shipment of the ENSA ENUN 32P cask test unit from the Port of Baltimore, Maryland to the TTCI near Pueblo, Colorado. This shipment may take as much as three weeks.  The DAC is designed to collect data during the entire shipment whether in motion or stationary.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While in transit from the Port of Baltimore to TTCI, the DAC will be periodically interrogated (TBV) via a secure domestic U.S. cellular telephone telecommunications network. Cellular data downloaded will consist of structured sample packets of instrument sensor data being stored in the DAC database. The data packets will be selected for upload to the cellular network based on pre-established prioritization (e.g., data collected since most recent upload, recent data collected during shock or vibration events that exceed a specified threshold, and a sample fraction of all data collected but not during threshold events). Electric power to maintain the battery charge of the test unit’s onboard cellular receiver/transmitter will be provided by the unit’s power supply system. Both the cellular data transmitter and the SAV-EM satellite system will report the power-level condition of the test unit’s onboard power supply.</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transit from Baltimore, Maryland until arrival at the eastern/western Class 1 railroads’ interchange yard (e.g., Chicago, and St. Louis), the test unit on its railcar may be interchanged at one or more of the eastern transporting rail company’s rail yards. These interchanges may provide opportunities for the project team to intercept the train while in a switching yard, and with the use of its WiFi system, download data in transit. This operation will require special access for members of the project team and training for team members requesting access and participating in the data download.</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After the railroad company delivers the ENSA ENUN 32P cask test unit on its railcar to the BNSF Avondale yard near Pueblo, Colorado, transport to the TTCI test tracks will be on a rail network that runs from the Avondale yard through the U.S. Army </w:t>
      </w:r>
      <w:hyperlink xmlns:r="http://schemas.openxmlformats.org/officeDocument/2006/relationships" r:id="docRId16">
        <w:r>
          <w:rPr>
            <w:rFonts w:ascii="Times New Roman" w:hAnsi="Times New Roman" w:cs="Times New Roman" w:eastAsia="Times New Roman"/>
            <w:color w:val="0000FF"/>
            <w:spacing w:val="0"/>
            <w:position w:val="0"/>
            <w:sz w:val="24"/>
            <w:u w:val="single"/>
            <w:shd w:fill="auto" w:val="clear"/>
          </w:rPr>
          <w:t xml:space="preserve">Pueblo Chemical Depot</w:t>
        </w:r>
      </w:hyperlink>
      <w:r>
        <w:rPr>
          <w:rFonts w:ascii="Times New Roman" w:hAnsi="Times New Roman" w:cs="Times New Roman" w:eastAsia="Times New Roman"/>
          <w:color w:val="auto"/>
          <w:spacing w:val="0"/>
          <w:position w:val="0"/>
          <w:sz w:val="24"/>
          <w:shd w:fill="auto" w:val="clear"/>
        </w:rPr>
        <w:t xml:space="preserve">. At TTCI the ENSA/DOE team’s technical staff will replace the DAC hard drives to secure the western rail shipment shock and vibration data. Then the DAC will be reinitialized and shut down.  Additionally, the DAC power supply will be recharged (requires up to 34 hours) at TTCI before initiating any tests. Following completion of the charging, the Project Team will thoroughly inspect the test unit’s housing, power supply, DAC and SAV-EM systems, and the general functional integrity of instrument leads and external sensors. The team will identify any necessary reinforcements or repairs that will need to be made to the test unit before it can be used in the captive rail tests at TTCI.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4"/>
          <w:shd w:fill="auto" w:val="clear"/>
        </w:rPr>
        <w:t xml:space="preserve">Table 9-4 provides a summary of either major activities that will occur during the U.S. cross-country rail transport of the ENSA ENUN 32P cask test unit from the time it is picked up by a railroad at the staging area at the Port of Baltimore until it is delivered to the BNSF Avondale, CO railyard (for subsequent pickup by a TTCI locomotive and rail crew).</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8"/>
          <w:shd w:fill="auto" w:val="clear"/>
        </w:rPr>
      </w:pPr>
    </w:p>
    <w:p>
      <w:pPr>
        <w:tabs>
          <w:tab w:val="left" w:pos="360" w:leader="none"/>
          <w:tab w:val="left" w:pos="720" w:leader="none"/>
          <w:tab w:val="left" w:pos="1080" w:leader="none"/>
        </w:tabs>
        <w:spacing w:before="12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  Major Activities During the U.S. Cross-country Rail Transport of the ENSA ENUN 32P Cask Test Unit</w:t>
      </w:r>
    </w:p>
    <w:tbl>
      <w:tblPr/>
      <w:tblGrid>
        <w:gridCol w:w="2694"/>
        <w:gridCol w:w="6656"/>
      </w:tblGrid>
      <w:tr>
        <w:trPr>
          <w:trHeight w:val="1" w:hRule="atLeast"/>
          <w:jc w:val="left"/>
          <w:cantSplit w:val="1"/>
        </w:trPr>
        <w:tc>
          <w:tcPr>
            <w:tcW w:w="269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Activity</w:t>
            </w:r>
          </w:p>
        </w:tc>
        <w:tc>
          <w:tcPr>
            <w:tcW w:w="665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Description</w:t>
            </w:r>
          </w:p>
        </w:tc>
      </w:tr>
      <w:tr>
        <w:trPr>
          <w:trHeight w:val="1" w:hRule="atLeast"/>
          <w:jc w:val="left"/>
        </w:trPr>
        <w:tc>
          <w:tcPr>
            <w:tcW w:w="269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 Railroad Company Picks up ENSA ENUN 32P Cask Test Unit Shipment </w:t>
            </w:r>
          </w:p>
        </w:tc>
        <w:tc>
          <w:tcPr>
            <w:tcW w:w="665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After notification by the shipper, a local Baltimore area rail freight service train and crew will arrive to pick up the test unit. The local freight service train will move the test unit on its railcar from the staging area at the Port of Baltimore to a Baltimore rail yard where, about two days later, the shipment will be placed in a west-bound train of a Class 1 railroad. The DAC hard drives will be removed and replaced after the test unit arrival and movement to the railcar. </w:t>
            </w:r>
          </w:p>
        </w:tc>
      </w:tr>
      <w:tr>
        <w:trPr>
          <w:trHeight w:val="1" w:hRule="atLeast"/>
          <w:jc w:val="left"/>
        </w:trPr>
        <w:tc>
          <w:tcPr>
            <w:tcW w:w="269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 ENSA ENUN 32P Cask Test Unit Transits from Baltimore to Midwest Railroad Interchange Yard</w:t>
            </w:r>
          </w:p>
        </w:tc>
        <w:tc>
          <w:tcPr>
            <w:tcW w:w="665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While in transit, the DAC will record and store eastern rail transit shock and vibration signal data from the ENSA ENUN 32P cask test unit’s instrument sensors. Periodically, data may be transmitted by the SAV-EM satellite system (geographic location, travel speed, synchronizing DAC clock-time, and selected sensor data) and when interrogated, by the test unit’s cellular network communications (TBV) while the test unit is in transit. ENSA, SNL, PNNL, and SRNL technical staff will continuously monitor information transmitted from the test unit.</w:t>
            </w:r>
          </w:p>
        </w:tc>
      </w:tr>
      <w:tr>
        <w:trPr>
          <w:trHeight w:val="1" w:hRule="atLeast"/>
          <w:jc w:val="left"/>
        </w:trPr>
        <w:tc>
          <w:tcPr>
            <w:tcW w:w="269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 Set out ENSA ENUN 32P Cask Test Unit Shipment on a Side Track at Midwest Interchange Yard</w:t>
            </w:r>
          </w:p>
        </w:tc>
        <w:tc>
          <w:tcPr>
            <w:tcW w:w="665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opportunity and need to access the railcar/cask during its transit to TTCI in Pueblo, Colorado will be evaluated and decided as the test planning proceeds. At that stop, if it occurs, it is expected that the team would use the system’s WiFi connectivity with assistance from the railroad and the freight forwarder to interrogate the system and download a selected amount of data. </w:t>
            </w:r>
          </w:p>
        </w:tc>
      </w:tr>
      <w:tr>
        <w:trPr>
          <w:trHeight w:val="1" w:hRule="atLeast"/>
          <w:jc w:val="left"/>
        </w:trPr>
        <w:tc>
          <w:tcPr>
            <w:tcW w:w="269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 ENSA ENUN 32P Cask Test Unit Arrives at the BNSF Avondale Yard</w:t>
            </w:r>
          </w:p>
        </w:tc>
        <w:tc>
          <w:tcPr>
            <w:tcW w:w="665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Delivery of the test unit to the BNSF Avondale yard by the western national railroad(s) will be the end of the commercial rail shipment of the unit from Baltimore to TTCI. At the Avondale yard ENSA/DOE and the shipper will accept the unit’s delivery from the railroad. The ENSA/DOE team and the shipper will inspect the delivered ENSA ENUN 32P cask test unit and its railcar as may be prudent for accepting the shipment from the railroad.</w:t>
            </w:r>
          </w:p>
        </w:tc>
      </w:tr>
      <w:tr>
        <w:trPr>
          <w:trHeight w:val="1" w:hRule="atLeast"/>
          <w:jc w:val="left"/>
        </w:trPr>
        <w:tc>
          <w:tcPr>
            <w:tcW w:w="269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 Delivery of the ENSA ENUN 32P Cask Test Unit to TTCI</w:t>
            </w:r>
          </w:p>
        </w:tc>
        <w:tc>
          <w:tcPr>
            <w:tcW w:w="665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Following acceptance of delivery by DOE/ENSA and the shipper from the railroad at the Avondale yard, the ENSA ENUN 32P cask test unit will be moved by a TTCI locomotive and crew to the TTCI facility on a rail network that runs from Avondale through the U.S. Army </w:t>
            </w:r>
            <w:hyperlink xmlns:r="http://schemas.openxmlformats.org/officeDocument/2006/relationships" r:id="docRId17">
              <w:r>
                <w:rPr>
                  <w:rFonts w:ascii="Times New Roman" w:hAnsi="Times New Roman" w:cs="Times New Roman" w:eastAsia="Times New Roman"/>
                  <w:color w:val="0000FF"/>
                  <w:spacing w:val="0"/>
                  <w:position w:val="0"/>
                  <w:sz w:val="22"/>
                  <w:u w:val="single"/>
                  <w:shd w:fill="auto" w:val="clear"/>
                </w:rPr>
                <w:t xml:space="preserve">Pueblo Chemical Depot</w:t>
              </w:r>
            </w:hyperlink>
            <w:r>
              <w:rPr>
                <w:rFonts w:ascii="Times New Roman" w:hAnsi="Times New Roman" w:cs="Times New Roman" w:eastAsia="Times New Roman"/>
                <w:color w:val="auto"/>
                <w:spacing w:val="0"/>
                <w:position w:val="0"/>
                <w:sz w:val="22"/>
                <w:shd w:fill="auto" w:val="clear"/>
              </w:rPr>
              <w:t xml:space="preserve">.</w:t>
            </w:r>
          </w:p>
        </w:tc>
      </w:tr>
      <w:tr>
        <w:trPr>
          <w:trHeight w:val="1" w:hRule="atLeast"/>
          <w:jc w:val="left"/>
        </w:trPr>
        <w:tc>
          <w:tcPr>
            <w:tcW w:w="2694"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 ENSA ENUN 32P Cask Test Unit Readied for Captive Track Testing</w:t>
            </w:r>
          </w:p>
        </w:tc>
        <w:tc>
          <w:tcPr>
            <w:tcW w:w="6656"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After its arrival at the TTCI facility, the railcar carrying the ENSA ENUN 32P cask test unit will be set out on an accessible side track and designated by TTCI personnel so work can be done on and around it. The ENSA/DOE team’s technical staff will inspect the ENSA ENUN 32P cask test unit’s housing, power supply, DAC, and SAV-EM systems and the general functional integrity of instrument leads and external sensors and make repairs as needed. Following completion of inspections, the DAC hard drives will be removed and replaced to secure the cross country rail data and the power supply batteries will be charged. The ENSA ENUN 32P cask test unit on its railcar will then be available at TTCI for preparations for use in captive track testing.</w:t>
            </w:r>
          </w:p>
        </w:tc>
      </w:tr>
    </w:tbl>
    <w:p>
      <w:pPr>
        <w:keepNext w:val="true"/>
        <w:numPr>
          <w:ilvl w:val="0"/>
          <w:numId w:val="281"/>
        </w:numPr>
        <w:tabs>
          <w:tab w:val="left" w:pos="540" w:leader="none"/>
        </w:tabs>
        <w:spacing w:before="36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keepNext w:val="true"/>
        <w:numPr>
          <w:ilvl w:val="0"/>
          <w:numId w:val="281"/>
        </w:numPr>
        <w:tabs>
          <w:tab w:val="left" w:pos="540" w:leader="none"/>
        </w:tabs>
        <w:spacing w:before="36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numPr>
          <w:ilvl w:val="0"/>
          <w:numId w:val="281"/>
        </w:numPr>
        <w:tabs>
          <w:tab w:val="left" w:pos="540" w:leader="none"/>
        </w:tabs>
        <w:spacing w:before="360" w:after="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Conduct Captive Rail Tests</w:t>
      </w:r>
    </w:p>
    <w:p>
      <w:pPr>
        <w:keepNext w:val="true"/>
        <w:numPr>
          <w:ilvl w:val="0"/>
          <w:numId w:val="281"/>
        </w:numPr>
        <w:tabs>
          <w:tab w:val="left" w:pos="540" w:leader="none"/>
        </w:tabs>
        <w:spacing w:before="36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Transportation Technology Center (TTC)</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TTC is located 21 miles northeast of Pueblo, Colorado and is operated by TTCI under a care, custody and control contract with the FRA.  The secured facility occupies 52-square miles and offers a vast array of specialized laboratories and track.  TTC offers unique isolated testing for all categories of freight and passenger rolling stock, vehicle and track components and safety devices.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left" w:pos="360" w:leader="none"/>
          <w:tab w:val="left" w:pos="720" w:leader="none"/>
          <w:tab w:val="left" w:pos="1080" w:leader="none"/>
        </w:tabs>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object w:dxaOrig="8985" w:dyaOrig="8985">
          <v:rect xmlns:o="urn:schemas-microsoft-com:office:office" xmlns:v="urn:schemas-microsoft-com:vml" id="rectole0000000008" style="width:449.250000pt;height:449.2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8" ShapeID="rectole0000000008" r:id="docRId18"/>
        </w:object>
      </w:r>
    </w:p>
    <w:p>
      <w:pPr>
        <w:tabs>
          <w:tab w:val="left" w:pos="360" w:leader="none"/>
          <w:tab w:val="left" w:pos="720" w:leader="none"/>
          <w:tab w:val="left" w:pos="1080" w:leader="none"/>
        </w:tabs>
        <w:spacing w:before="12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Test Tracks at TTC</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Each of the various tracks at TTC offer unique capabilities for a vast array of rail vehicle testing.  The list below offers a description of the various test tracks at TTC (refer to Figure 9-2):</w:t>
      </w:r>
    </w:p>
    <w:p>
      <w:pPr>
        <w:numPr>
          <w:ilvl w:val="0"/>
          <w:numId w:val="286"/>
        </w:numPr>
        <w:tabs>
          <w:tab w:val="left" w:pos="360" w:leader="none"/>
          <w:tab w:val="left" w:pos="720" w:leader="none"/>
          <w:tab w:val="left" w:pos="108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Track #1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High Tonnage Loop (HTL)</w:t>
        <w:br/>
      </w:r>
      <w:r>
        <w:rPr>
          <w:rFonts w:ascii="Times New Roman" w:hAnsi="Times New Roman" w:cs="Times New Roman" w:eastAsia="Times New Roman"/>
          <w:color w:val="auto"/>
          <w:spacing w:val="0"/>
          <w:position w:val="0"/>
          <w:sz w:val="24"/>
          <w:shd w:fill="auto" w:val="clear"/>
        </w:rPr>
        <w:t xml:space="preserve">The HTL is used for track component reliability, wear, and fatigue research under heavy axle loads. Operations are restricted to a maximum 40 miles per hour. The HTL is divided into test sections that generally correspond to tangents, spirals, curves (three 5-degree curves and one 6-degree curve), and turnouts.</w:t>
      </w:r>
    </w:p>
    <w:p>
      <w:pPr>
        <w:numPr>
          <w:ilvl w:val="0"/>
          <w:numId w:val="286"/>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Track #2 </w:t>
      </w: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 Wheel Rail Mechanism Loop (WRM)</w:t>
        <w:br/>
      </w:r>
      <w:r>
        <w:rPr>
          <w:rFonts w:ascii="Times New Roman" w:hAnsi="Times New Roman" w:cs="Times New Roman" w:eastAsia="Times New Roman"/>
          <w:color w:val="auto"/>
          <w:spacing w:val="0"/>
          <w:position w:val="0"/>
          <w:sz w:val="22"/>
          <w:shd w:fill="auto" w:val="clear"/>
        </w:rPr>
        <w:t xml:space="preserve">The WRM track is a 3.5-mile loop configured to determine vehicle performance on nominally smooth track and on track with perturbations designed to induce known poor performance modes. The WRM is used primarily for the evaluation of rail vehicle safety compliance in curving.</w:t>
      </w:r>
    </w:p>
    <w:p>
      <w:pPr>
        <w:numPr>
          <w:ilvl w:val="0"/>
          <w:numId w:val="286"/>
        </w:numPr>
        <w:tabs>
          <w:tab w:val="left" w:pos="360" w:leader="none"/>
          <w:tab w:val="left" w:pos="720" w:leader="none"/>
          <w:tab w:val="left" w:pos="108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Track #3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Railroad Test Track (RTT)</w:t>
        <w:br/>
      </w:r>
      <w:r>
        <w:rPr>
          <w:rFonts w:ascii="Times New Roman" w:hAnsi="Times New Roman" w:cs="Times New Roman" w:eastAsia="Times New Roman"/>
          <w:color w:val="auto"/>
          <w:spacing w:val="0"/>
          <w:position w:val="0"/>
          <w:sz w:val="24"/>
          <w:shd w:fill="auto" w:val="clear"/>
        </w:rPr>
        <w:t xml:space="preserve">The RTT is a 13.5-mile loop with four 50-minute curves and a single 1-degree, 15-minute reverse curve. Maximum speed is 165 mph. All curves have 6-inches of superelevation. Track structure includes welded 136-pound per-yard rail, new concrete ties, and treated hardwood ties with elastic fasteners. The track loop is also equipped with a rail break detection and switch indication system. The RTT's catenary system can deliver a single-phase, 60 Hz alternating current at 12.5, 25, or 50 kV, in a single or dual voltage condition. The contact wire height is currently set at a 22 feet, 6 inches. It is also possible to energize the system with DC power.</w:t>
        <w:br/>
        <w:br/>
        <w:t xml:space="preserve">The RTT is the site of frequent high-speed stability and endurance tests for freight and passenger cars, electric powered cars and locomotives. Total performance evaluations of Northeast Corridor locomotives are carried out on the RTT. Connected to the RTT and used for turning trains, is a Balloon Loop, which has a 7-degree, 30-minute curve with 4.5 inches superelevation, and a 5-degree reverse curve with 3.5 inches of superelevation. This loop is the site of the rail defect gauntlet track used for rail defect detection research.</w:t>
      </w:r>
    </w:p>
    <w:p>
      <w:pPr>
        <w:numPr>
          <w:ilvl w:val="0"/>
          <w:numId w:val="286"/>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Track #4 </w:t>
      </w: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 Transit Test Track (TTT)</w:t>
      </w:r>
      <w:r>
        <w:rPr>
          <w:rFonts w:ascii="Times New Roman" w:hAnsi="Times New Roman" w:cs="Times New Roman" w:eastAsia="Times New Roman"/>
          <w:color w:val="auto"/>
          <w:spacing w:val="0"/>
          <w:position w:val="0"/>
          <w:sz w:val="22"/>
          <w:shd w:fill="auto" w:val="clear"/>
        </w:rPr>
        <w:br/>
        <w:t xml:space="preserve">The Transit Test Track (TTT) is a 9.1-mile oval track, equipped with a third rail power system, used for vehicle performance and specification compliance testing. Investigation of vehicle performance is possible at speeds up to 80 miles per hour over six segments of different track material construction; e.g., continuous welded rail versus jointed rail, wood versus concrete ties.</w:t>
        <w:br/>
        <w:br/>
        <w:t xml:space="preserve">The third rail DC electrified power system provides transit and commuter vehicles with a voltage variable from zero to 1,000 volts DC with a 3,700 amp continuous rating. The track includes a 10,000-foot-long overhead DC contact wire catenary, suitable for low-speed operation and evaluation of light rail urban vehicles.</w:t>
        <w:br/>
        <w:br/>
        <w:t xml:space="preserve">Located within the transit loop is the tight-turn or "screech loop." This 150-foot radius (38 degree, 12 minute) curve test track is used in the investigation of wheel noise, car curving performance, and suspension system stability.</w:t>
      </w:r>
    </w:p>
    <w:p>
      <w:pPr>
        <w:numPr>
          <w:ilvl w:val="0"/>
          <w:numId w:val="286"/>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Track #5 </w:t>
      </w: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 Impact Track</w:t>
        <w:br/>
      </w:r>
      <w:r>
        <w:rPr>
          <w:rFonts w:ascii="Times New Roman" w:hAnsi="Times New Roman" w:cs="Times New Roman" w:eastAsia="Times New Roman"/>
          <w:color w:val="auto"/>
          <w:spacing w:val="0"/>
          <w:position w:val="0"/>
          <w:sz w:val="22"/>
          <w:shd w:fill="auto" w:val="clear"/>
        </w:rPr>
        <w:t xml:space="preserve">The Impact Track is a 0.75-mile-tangent track and facilitates destructive impact test projects including full-scale train impacts, in support of crashworthiness modifications of locomotive cabs and passenger cars.</w:t>
      </w:r>
    </w:p>
    <w:p>
      <w:pPr>
        <w:numPr>
          <w:ilvl w:val="0"/>
          <w:numId w:val="286"/>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Track #6 </w:t>
      </w: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 Precision Test Track (PTT)</w:t>
      </w:r>
      <w:r>
        <w:rPr>
          <w:rFonts w:ascii="Times New Roman" w:hAnsi="Times New Roman" w:cs="Times New Roman" w:eastAsia="Times New Roman"/>
          <w:color w:val="auto"/>
          <w:spacing w:val="0"/>
          <w:position w:val="0"/>
          <w:sz w:val="22"/>
          <w:shd w:fill="auto" w:val="clear"/>
        </w:rPr>
        <w:br/>
        <w:t xml:space="preserve">The PTT is a 6.2-mile-long track used primarily for vehicle dynamic behavior, safety compliance, and impact tests. Construction consists of standard track materials maintained to include specified track perturbations used in conjunction with the performance of vehicle track worthiness testing. The PTT and other tracks at TTC have been configured to determine vehicle performance on nominal smooth track and on track designed to induce known poor performance modes. These tracks are used in safety performance analysis and for vehicle certification. The AAR performs certification testing on freight rail vehicles of various designs at TTC according to Chapter 11 specifications as found in the AAR M-1001, Manual of Standards and Recommended Practices, to ascertain the interchange service worthiness of freight cars.</w:t>
      </w:r>
    </w:p>
    <w:p>
      <w:pPr>
        <w:numPr>
          <w:ilvl w:val="0"/>
          <w:numId w:val="286"/>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Track #7 </w:t>
      </w: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 Train Dynamics Track (TDT)</w:t>
        <w:br/>
      </w:r>
      <w:r>
        <w:rPr>
          <w:rFonts w:ascii="Times New Roman" w:hAnsi="Times New Roman" w:cs="Times New Roman" w:eastAsia="Times New Roman"/>
          <w:color w:val="auto"/>
          <w:spacing w:val="0"/>
          <w:position w:val="0"/>
          <w:sz w:val="22"/>
          <w:shd w:fill="auto" w:val="clear"/>
        </w:rPr>
        <w:t xml:space="preserve">The Train Dynamics Track has a 1°30' curve.</w:t>
      </w:r>
    </w:p>
    <w:p>
      <w:pPr>
        <w:keepNext w:val="true"/>
        <w:numPr>
          <w:ilvl w:val="0"/>
          <w:numId w:val="286"/>
        </w:numPr>
        <w:tabs>
          <w:tab w:val="left" w:pos="540" w:leader="none"/>
        </w:tabs>
        <w:spacing w:before="36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Pueblo Chemical Depot Track Layout</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TTCI will test the cask and car on tracks at the Pueblo Chemical Depot (PCD).  The PCD is located just south of TTC and contains several miles of railroad track maintained to FRA Class 2.  It is about 7 miles from the border of TTC property to the west leg of the wye at Avondale.  Figure 9-3 shows a sketch of the tracks at the PCD.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left" w:pos="360" w:leader="none"/>
          <w:tab w:val="left" w:pos="720" w:leader="none"/>
          <w:tab w:val="left" w:pos="1080" w:leader="none"/>
        </w:tabs>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object w:dxaOrig="8294" w:dyaOrig="6235">
          <v:rect xmlns:o="urn:schemas-microsoft-com:office:office" xmlns:v="urn:schemas-microsoft-com:vml" id="rectole0000000009" style="width:414.700000pt;height:311.7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9" ShapeID="rectole0000000009" r:id="docRId20"/>
        </w:object>
      </w:r>
    </w:p>
    <w:p>
      <w:pPr>
        <w:tabs>
          <w:tab w:val="left" w:pos="360" w:leader="none"/>
          <w:tab w:val="left" w:pos="720" w:leader="none"/>
          <w:tab w:val="left" w:pos="1080" w:leader="none"/>
        </w:tabs>
        <w:spacing w:before="12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Figure .  Sketch showing some of the tracks at the Pueblo Chemical Depot</w:t>
      </w:r>
    </w:p>
    <w:p>
      <w:pPr>
        <w:keepNext w:val="true"/>
        <w:numPr>
          <w:ilvl w:val="0"/>
          <w:numId w:val="294"/>
        </w:numPr>
        <w:tabs>
          <w:tab w:val="left" w:pos="540" w:leader="none"/>
        </w:tabs>
        <w:spacing w:before="36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Measurements</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measurements listed in the test plan address only the captive tests expected to be performed at TTC, and are the minimum required to verify safe test operations over perturbed track test zones.  TTCI understands that PNNL will also have additional instrumentation and data collection system(s) on-board to measure the shock and vibration environment of the cask.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AAR M-976 performance criteria will be used to assess vehicle safety performance during testing.  These criteria are somewhat less conservative than the S-2043 criteria.  This will help ensure that the maximum realistic and conservative levels of vibration for the cask are achieved during the testing without compromising test safety. </w:t>
      </w:r>
    </w:p>
    <w:p>
      <w:pPr>
        <w:keepNext w:val="true"/>
        <w:numPr>
          <w:ilvl w:val="0"/>
          <w:numId w:val="296"/>
        </w:numPr>
        <w:tabs>
          <w:tab w:val="left" w:pos="540" w:leader="none"/>
        </w:tabs>
        <w:spacing w:before="36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Test Car</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This test plan is being written before the railcar to carry the cask is chosen.  TTCI expects that an 8- or 12-axle span bolster flatcar will be used.  It is unlikely the test car will have been designed or tested to the requirements of S-2043.  Some details of the test plan can only be specified after car selection.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For most conditions the shock and vibration environment on a non S-2043 railcar will be similar to or more severe than that of an S-2043 railcar.  The possible exception to this is the loaded hunting test regime.  To meet the stringent curving requirements of S-2043 the trucks are often equipped with primary suspension pads.  While these pads improve curving performance, they can sometimes adversely affect loaded hunting (lateral stability) performance.  Special care will be taken to measure a reasonable range of loaded hunting performance during the test.</w:t>
      </w:r>
    </w:p>
    <w:p>
      <w:pPr>
        <w:keepNext w:val="true"/>
        <w:numPr>
          <w:ilvl w:val="0"/>
          <w:numId w:val="298"/>
        </w:numPr>
        <w:tabs>
          <w:tab w:val="left" w:pos="540" w:leader="none"/>
        </w:tabs>
        <w:spacing w:before="36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Scope</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This section contain a brief description of the tests included in the test plan and why they are included.  Some tests that are not included in the test plan are also briefly described together with the reasons they were omitted. </w:t>
      </w:r>
    </w:p>
    <w:p>
      <w:pPr>
        <w:keepNext w:val="true"/>
        <w:numPr>
          <w:ilvl w:val="0"/>
          <w:numId w:val="300"/>
        </w:numPr>
        <w:tabs>
          <w:tab w:val="left" w:pos="540" w:leader="none"/>
        </w:tabs>
        <w:spacing w:before="360" w:after="0" w:line="24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Tests Included in Plan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following tests are described in the test plan:</w:t>
      </w:r>
    </w:p>
    <w:p>
      <w:pPr>
        <w:numPr>
          <w:ilvl w:val="0"/>
          <w:numId w:val="302"/>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Crossing Diamond Tests</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these tests are intended to subject the vehicle to typical vertical impacts resulting from the wheels traversing gaps in the rails where tracks intersect.  </w:t>
      </w:r>
    </w:p>
    <w:p>
      <w:pPr>
        <w:keepNext w:val="true"/>
        <w:numPr>
          <w:ilvl w:val="0"/>
          <w:numId w:val="302"/>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Twist and Roll Test</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this test is conducted to determine the car’s ability to negotiate oscillatory cross level perturbations (Figure 9-4). These perturbations are designed to excite the natural twist and roll motions of the vehicle.</w:t>
      </w:r>
    </w:p>
    <w:p>
      <w:pPr>
        <w:keepNext w:val="true"/>
        <w:tabs>
          <w:tab w:val="left" w:pos="360" w:leader="none"/>
          <w:tab w:val="left" w:pos="720" w:leader="none"/>
          <w:tab w:val="left" w:pos="1080" w:leader="none"/>
        </w:tabs>
        <w:spacing w:before="0" w:after="0" w:line="240"/>
        <w:ind w:right="0" w:left="72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br/>
        <w:br/>
      </w:r>
      <w:r>
        <w:object w:dxaOrig="4875" w:dyaOrig="3179">
          <v:rect xmlns:o="urn:schemas-microsoft-com:office:office" xmlns:v="urn:schemas-microsoft-com:vml" id="rectole0000000010" style="width:243.750000pt;height:158.9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0" ShapeID="rectole0000000010" r:id="docRId22"/>
        </w:object>
      </w:r>
    </w:p>
    <w:p>
      <w:pPr>
        <w:tabs>
          <w:tab w:val="left" w:pos="360" w:leader="none"/>
          <w:tab w:val="left" w:pos="720" w:leader="none"/>
          <w:tab w:val="left" w:pos="1080" w:leader="none"/>
        </w:tabs>
        <w:spacing w:before="12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Figure . Twist and Roll test Zone</w:t>
      </w:r>
    </w:p>
    <w:p>
      <w:pPr>
        <w:numPr>
          <w:ilvl w:val="0"/>
          <w:numId w:val="306"/>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Pitch and Bounce Test</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these tests are conducted to determine the car’s ability to negotiate parallel vertical rail perturbations (Figure 9-5). This test section is designed to excite the natural vertical pitch and bounce motions of the vehicle. </w:t>
        <w:br/>
      </w:r>
    </w:p>
    <w:p>
      <w:pPr>
        <w:keepNext w:val="true"/>
        <w:tabs>
          <w:tab w:val="left" w:pos="360" w:leader="none"/>
          <w:tab w:val="left" w:pos="720" w:leader="none"/>
          <w:tab w:val="left" w:pos="1080" w:leader="none"/>
        </w:tabs>
        <w:spacing w:before="0" w:after="0" w:line="240"/>
        <w:ind w:right="0" w:left="72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br/>
      </w:r>
      <w:r>
        <w:object w:dxaOrig="4564" w:dyaOrig="4060">
          <v:rect xmlns:o="urn:schemas-microsoft-com:office:office" xmlns:v="urn:schemas-microsoft-com:vml" id="rectole0000000011" style="width:228.200000pt;height:203.0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1" ShapeID="rectole0000000011" r:id="docRId24"/>
        </w:object>
      </w:r>
    </w:p>
    <w:p>
      <w:pPr>
        <w:tabs>
          <w:tab w:val="left" w:pos="360" w:leader="none"/>
          <w:tab w:val="left" w:pos="720" w:leader="none"/>
          <w:tab w:val="left" w:pos="1080" w:leader="none"/>
        </w:tabs>
        <w:spacing w:before="12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Figure . Pitch and Bounce Test Zone</w:t>
      </w:r>
    </w:p>
    <w:p>
      <w:pPr>
        <w:numPr>
          <w:ilvl w:val="0"/>
          <w:numId w:val="309"/>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Dynamic Curving Test</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these tests are conducted to determine the cars ability to negotiate curving over jointed track with a combination of lateral misalignment at the outer rail joints and cross-level due to low joints on the staggered rails (Figure 9-6).</w:t>
        <w:br/>
      </w:r>
    </w:p>
    <w:p>
      <w:pPr>
        <w:keepNext w:val="true"/>
        <w:tabs>
          <w:tab w:val="left" w:pos="360" w:leader="none"/>
          <w:tab w:val="left" w:pos="720" w:leader="none"/>
          <w:tab w:val="left" w:pos="1080" w:leader="none"/>
        </w:tabs>
        <w:spacing w:before="0" w:after="0" w:line="240"/>
        <w:ind w:right="0" w:left="360" w:firstLine="0"/>
        <w:jc w:val="center"/>
        <w:rPr>
          <w:rFonts w:ascii="Times New Roman" w:hAnsi="Times New Roman" w:cs="Times New Roman" w:eastAsia="Times New Roman"/>
          <w:color w:val="auto"/>
          <w:spacing w:val="0"/>
          <w:position w:val="0"/>
          <w:sz w:val="22"/>
          <w:shd w:fill="auto" w:val="clear"/>
        </w:rPr>
      </w:pPr>
      <w:r>
        <w:object w:dxaOrig="7935" w:dyaOrig="3170">
          <v:rect xmlns:o="urn:schemas-microsoft-com:office:office" xmlns:v="urn:schemas-microsoft-com:vml" id="rectole0000000012" style="width:396.750000pt;height:158.5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2" ShapeID="rectole0000000012" r:id="docRId26"/>
        </w:object>
      </w:r>
    </w:p>
    <w:p>
      <w:pPr>
        <w:tabs>
          <w:tab w:val="left" w:pos="360" w:leader="none"/>
          <w:tab w:val="left" w:pos="720" w:leader="none"/>
          <w:tab w:val="left" w:pos="1080" w:leader="none"/>
        </w:tabs>
        <w:spacing w:before="12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Figure . Dynamic Curve Test Zone</w:t>
        <w:br/>
      </w:r>
    </w:p>
    <w:p>
      <w:pPr>
        <w:numPr>
          <w:ilvl w:val="0"/>
          <w:numId w:val="312"/>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Tests at the Pueblo Chemical Depot</w:t>
      </w:r>
      <w:r>
        <w:rPr>
          <w:rFonts w:ascii="Times New Roman" w:hAnsi="Times New Roman" w:cs="Times New Roman" w:eastAsia="Times New Roman"/>
          <w:color w:val="auto"/>
          <w:spacing w:val="0"/>
          <w:position w:val="0"/>
          <w:sz w:val="22"/>
          <w:shd w:fill="auto" w:val="clear"/>
        </w:rPr>
        <w:t xml:space="preserve"> (see Figure 3)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These tests include runs over FRA class 2 railroad track and tests through No. 8 turnout and No. 8 crossovers. </w:t>
      </w:r>
    </w:p>
    <w:p>
      <w:pPr>
        <w:numPr>
          <w:ilvl w:val="0"/>
          <w:numId w:val="312"/>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Coupling Impact Test</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these tests are conducted to provide longitudinal inputs from coupling at higher than normal speeds.  These inputs are similar to those that might also be caused by longitudinal train action.</w:t>
      </w:r>
    </w:p>
    <w:p>
      <w:pPr>
        <w:numPr>
          <w:ilvl w:val="0"/>
          <w:numId w:val="312"/>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Loaded Hunting Test</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these tests are conducted to determine the vehicle’s lateral stability at higher speeds.  This test is the one regime in which it is possible performance with a standard railcar may provide less conservative inputs than would be obtained with an S-2043 approved railcar.  This, and possible mitigating actions will be described in section 4.2.</w:t>
      </w:r>
    </w:p>
    <w:p>
      <w:pPr>
        <w:numPr>
          <w:ilvl w:val="0"/>
          <w:numId w:val="312"/>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Single Bump Test</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This test is intended to represent a grade crossing.  The test zone consists of a one-inch bump on tangent track.  The bump is a flat topped ramp that rises up over 7 feet, has a steady elevation over 20 feet, and drops back down over 7 feet. Test speeds are 40 to 75 mph in 5 mph increments.  Railroad industry experience is that vertical dynamic response at grade crossings is a significant source of large vertical accelerations and shock and vibration in freight cars.</w:t>
      </w:r>
    </w:p>
    <w:p>
      <w:pPr>
        <w:keepNext w:val="true"/>
        <w:numPr>
          <w:ilvl w:val="0"/>
          <w:numId w:val="312"/>
        </w:numPr>
        <w:tabs>
          <w:tab w:val="left" w:pos="540" w:leader="none"/>
        </w:tabs>
        <w:spacing w:before="360" w:after="0" w:line="24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Tests Not Included in the Plan</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tests listed here are ones required by S-2043 for single car testing, but were not included in the test plan for the reasons given.  The number next to each test name is the section of S-2043 where the test is specified.</w:t>
      </w:r>
    </w:p>
    <w:p>
      <w:pPr>
        <w:numPr>
          <w:ilvl w:val="0"/>
          <w:numId w:val="315"/>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5.5.9 Yaw and Sway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The Yaw and Sway test zone (Figure 9-7) is lateral perturbation on a constant wide gage of 57.5 inches.  The wavelength is 39 feet.  The test is typically done from 30 to 70 mph in 5 mph increments.  </w:t>
      </w:r>
    </w:p>
    <w:p>
      <w:pPr>
        <w:tabs>
          <w:tab w:val="left" w:pos="360" w:leader="none"/>
          <w:tab w:val="left" w:pos="720" w:leader="none"/>
          <w:tab w:val="left" w:pos="1080" w:leader="none"/>
        </w:tabs>
        <w:spacing w:before="240" w:after="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test was not included in the test plan because, although the test zone remains in track, it is not often requested by the AAR for certification tests and is therefore not regularly maintained.  If desired the test zone could be inspected and made ready for testing.  Performing this test will also require moving the IWS from the positions used for M-976 tests.</w:t>
      </w:r>
    </w:p>
    <w:p>
      <w:pPr>
        <w:keepNext w:val="true"/>
        <w:tabs>
          <w:tab w:val="left" w:pos="360" w:leader="none"/>
          <w:tab w:val="left" w:pos="720" w:leader="none"/>
          <w:tab w:val="left" w:pos="1080" w:leader="none"/>
        </w:tabs>
        <w:spacing w:before="240" w:after="0" w:line="240"/>
        <w:ind w:right="0" w:left="0" w:firstLine="0"/>
        <w:jc w:val="center"/>
        <w:rPr>
          <w:rFonts w:ascii="Times New Roman" w:hAnsi="Times New Roman" w:cs="Times New Roman" w:eastAsia="Times New Roman"/>
          <w:color w:val="auto"/>
          <w:spacing w:val="0"/>
          <w:position w:val="0"/>
          <w:sz w:val="24"/>
          <w:shd w:fill="auto" w:val="clear"/>
        </w:rPr>
      </w:pPr>
      <w:r>
        <w:object w:dxaOrig="5188" w:dyaOrig="3235">
          <v:rect xmlns:o="urn:schemas-microsoft-com:office:office" xmlns:v="urn:schemas-microsoft-com:vml" id="rectole0000000013" style="width:259.400000pt;height:161.7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3" ShapeID="rectole0000000013" r:id="docRId28"/>
        </w:object>
      </w:r>
    </w:p>
    <w:p>
      <w:pPr>
        <w:tabs>
          <w:tab w:val="left" w:pos="360" w:leader="none"/>
          <w:tab w:val="left" w:pos="720" w:leader="none"/>
          <w:tab w:val="left" w:pos="1080" w:leader="none"/>
        </w:tabs>
        <w:spacing w:before="12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Figure .  Yaw and Sway test zone.</w:t>
      </w:r>
    </w:p>
    <w:p>
      <w:pPr>
        <w:numPr>
          <w:ilvl w:val="0"/>
          <w:numId w:val="319"/>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5.5.12 Pitch and Bounce (Special)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This test zone is similar to the Pitch and Bounce test listed in section 0 except that the wavelength of the perturbations is adjusted to match the truck (or span bolster) center spacing of the test car.  Testing at the truck center spacing increases the likely hood of resonant pitch and bounce response and consequent increased likelihood of large vertical accelerations.  </w:t>
      </w:r>
    </w:p>
    <w:p>
      <w:pPr>
        <w:tabs>
          <w:tab w:val="left" w:pos="360" w:leader="none"/>
          <w:tab w:val="left" w:pos="720" w:leader="none"/>
          <w:tab w:val="left" w:pos="1080" w:leader="none"/>
        </w:tabs>
        <w:spacing w:before="240" w:after="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Performing this test requires that a test zone be built.  This process is expensive and would likely impact other work being conducted at TTC, so it was not included in the test plan. </w:t>
      </w:r>
    </w:p>
    <w:p>
      <w:pPr>
        <w:numPr>
          <w:ilvl w:val="0"/>
          <w:numId w:val="321"/>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5.5.15 Curving with Single Rail Perturbation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This test is intended to represent a low or high joint in a yard.  Two scenarios are run, one with a two-inch outside rail dip and another with a two-inch inside rail bump.  The inside rail bump is a flat topped ramp with an initial elevation change over 6-feet, a steady elevation over 12-feet, then it ramps back down over 6-feet.  The outside rail dip is the reverse.  These tests zones are installed on a 12-degree curve with less that ½-inch superelevation.  Tests are performed from 4 to 14 mph in two mph increments.</w:t>
      </w:r>
    </w:p>
    <w:p>
      <w:pPr>
        <w:tabs>
          <w:tab w:val="left" w:pos="360" w:leader="none"/>
          <w:tab w:val="left" w:pos="720" w:leader="none"/>
          <w:tab w:val="left" w:pos="1080" w:leader="none"/>
        </w:tabs>
        <w:spacing w:before="240" w:after="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Performing this test requires that a test zone be built.  Building this test zone would be much simpler than the Special Pitch and Bounce zone, but it would still be relatively expensive and would impact other work at TTC. This is a severe test of a car’s ability to negotiate poorly maintained track, but because of the low speeds, it is unlikely to expose the cask to significant shock or vibration.  For these reasons it is not included in the test plan.</w:t>
      </w:r>
    </w:p>
    <w:p>
      <w:pPr>
        <w:numPr>
          <w:ilvl w:val="0"/>
          <w:numId w:val="323"/>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5.5.16 Standard Chapter 11 Constant Curving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These tests are performed to ensure the car is able to negotiate well maintained track curves.  These tests are performed on the same test loop as the Dynamic Curving test on the WRM loop, only in different curves.</w:t>
      </w:r>
    </w:p>
    <w:p>
      <w:pPr>
        <w:tabs>
          <w:tab w:val="left" w:pos="360" w:leader="none"/>
          <w:tab w:val="left" w:pos="720" w:leader="none"/>
          <w:tab w:val="left" w:pos="1080" w:leader="none"/>
        </w:tabs>
        <w:spacing w:before="240" w:after="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Constant curving tests are not included in the test plan because the curves used for these tests are well maintained, yet the maximum speed on the track is 32 mph.  This will limit the shock and vibration input in this test zone.</w:t>
      </w:r>
    </w:p>
    <w:p>
      <w:pPr>
        <w:numPr>
          <w:ilvl w:val="0"/>
          <w:numId w:val="325"/>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Vibration Test Unit (VTU)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The VTU is a hydraulic shaker unit designed to accept an entire 4-axle railroad car.  The VTU can move each axle of the car vertically, laterally, and in roll independently.  </w:t>
      </w:r>
    </w:p>
    <w:p>
      <w:pPr>
        <w:tabs>
          <w:tab w:val="left" w:pos="360" w:leader="none"/>
          <w:tab w:val="left" w:pos="720" w:leader="none"/>
          <w:tab w:val="left" w:pos="1080" w:leader="none"/>
        </w:tabs>
        <w:spacing w:before="240" w:after="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Because the VTU is not capable of accepting cars with more than 4 axles its use was not included in the test plan. </w:t>
      </w:r>
    </w:p>
    <w:p>
      <w:pPr>
        <w:numPr>
          <w:ilvl w:val="0"/>
          <w:numId w:val="327"/>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Simuloader (SMU) - The SMU is a hydraulic shaker unit designed to accept a railroad car body without the trucks or axles.  The SMU can apply longitudinal loads to the car body and can move the body bolster locations vertically, laterally, and in roll independently.  The SMU is used for fatigue testing of car bodies.</w:t>
      </w:r>
    </w:p>
    <w:p>
      <w:pPr>
        <w:tabs>
          <w:tab w:val="left" w:pos="360" w:leader="none"/>
          <w:tab w:val="left" w:pos="720" w:leader="none"/>
          <w:tab w:val="left" w:pos="1080" w:leader="none"/>
        </w:tabs>
        <w:spacing w:before="240" w:after="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SMU is designed to accept cars with 16-inch centerplates.  A span bolster car is likely to be equipped with larger centerplates so the car or the SMU would require modifications for a test.  Depending on the overall weight of the car and cask, the capacity of the SMU may be marginal depending on the desired excitation.  Because of these limitations, tests with the SMU are not included in the test plan.</w:t>
      </w:r>
    </w:p>
    <w:p>
      <w:pPr>
        <w:numPr>
          <w:ilvl w:val="0"/>
          <w:numId w:val="329"/>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Mini-Shaker Unit (MSU)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The MSU is a hydraulic shaker unit.  The unit consists of two large reaction masses with hydraulic actuators attached.  The hydraulic actuators are connected to a railroad car body to excite it vertically or laterally.  </w:t>
      </w:r>
    </w:p>
    <w:p>
      <w:pPr>
        <w:tabs>
          <w:tab w:val="left" w:pos="360" w:leader="none"/>
          <w:tab w:val="left" w:pos="720" w:leader="none"/>
          <w:tab w:val="left" w:pos="1080" w:leader="none"/>
        </w:tabs>
        <w:spacing w:before="240" w:after="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actuators are only capable of applying 77,000 pounds force each.  Using the MSU requires that large steel connections for the actuators be welded to the carbody.  The MSU is only attached to a car at one end.  Because of these limitations, tests with the MSU are not included in the test plan.</w:t>
      </w:r>
    </w:p>
    <w:p>
      <w:pPr>
        <w:keepNext w:val="true"/>
        <w:numPr>
          <w:ilvl w:val="0"/>
          <w:numId w:val="331"/>
        </w:numPr>
        <w:tabs>
          <w:tab w:val="left" w:pos="540" w:leader="none"/>
        </w:tabs>
        <w:spacing w:before="360" w:after="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Data Analysis/Criteria</w:t>
      </w:r>
    </w:p>
    <w:p>
      <w:pPr>
        <w:tabs>
          <w:tab w:val="left" w:pos="360" w:leader="none"/>
          <w:tab w:val="left" w:pos="720" w:leader="none"/>
          <w:tab w:val="left" w:pos="1080" w:leader="none"/>
        </w:tabs>
        <w:spacing w:before="0" w:after="240" w:line="264"/>
        <w:ind w:right="0" w:left="0" w:firstLine="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TTCI will use the performance criteria in M-976 (Table 4-1) as guidelines to safe test performance.  These requirements are shown here in Table 9-5. </w:t>
      </w:r>
    </w:p>
    <w:p>
      <w:pPr>
        <w:keepNext w:val="true"/>
        <w:tabs>
          <w:tab w:val="left" w:pos="360" w:leader="none"/>
          <w:tab w:val="left" w:pos="720" w:leader="none"/>
          <w:tab w:val="left" w:pos="1080" w:leader="none"/>
        </w:tabs>
        <w:spacing w:before="12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Criteria for assessing testing requirements</w:t>
      </w:r>
    </w:p>
    <w:tbl>
      <w:tblPr/>
      <w:tblGrid>
        <w:gridCol w:w="1884"/>
        <w:gridCol w:w="995"/>
        <w:gridCol w:w="3438"/>
        <w:gridCol w:w="1465"/>
      </w:tblGrid>
      <w:tr>
        <w:trPr>
          <w:trHeight w:val="1" w:hRule="atLeast"/>
          <w:jc w:val="center"/>
        </w:trPr>
        <w:tc>
          <w:tcPr>
            <w:tcW w:w="18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Regime</w:t>
            </w:r>
          </w:p>
        </w:tc>
        <w:tc>
          <w:tcPr>
            <w:tcW w:w="9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Section</w:t>
            </w:r>
          </w:p>
        </w:tc>
        <w:tc>
          <w:tcPr>
            <w:tcW w:w="3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Criterion</w:t>
            </w:r>
          </w:p>
        </w:tc>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Limiting Value</w:t>
            </w:r>
          </w:p>
        </w:tc>
      </w:tr>
      <w:tr>
        <w:trPr>
          <w:trHeight w:val="1" w:hRule="atLeast"/>
          <w:jc w:val="center"/>
        </w:trPr>
        <w:tc>
          <w:tcPr>
            <w:tcW w:w="188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Hunting</w:t>
            </w:r>
          </w:p>
        </w:tc>
        <w:tc>
          <w:tcPr>
            <w:tcW w:w="99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4.1.2.4</w:t>
            </w:r>
          </w:p>
        </w:tc>
        <w:tc>
          <w:tcPr>
            <w:tcW w:w="3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maximum lateral acceleration (g)</w:t>
            </w:r>
          </w:p>
        </w:tc>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1.5</w:t>
            </w:r>
          </w:p>
        </w:tc>
      </w:tr>
      <w:tr>
        <w:trPr>
          <w:trHeight w:val="1" w:hRule="atLeast"/>
          <w:jc w:val="center"/>
        </w:trPr>
        <w:tc>
          <w:tcPr>
            <w:tcW w:w="188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standard deviation</w:t>
            </w:r>
          </w:p>
        </w:tc>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0.13</w:t>
            </w:r>
          </w:p>
        </w:tc>
      </w:tr>
      <w:tr>
        <w:trPr>
          <w:trHeight w:val="1" w:hRule="atLeast"/>
          <w:jc w:val="center"/>
        </w:trPr>
        <w:tc>
          <w:tcPr>
            <w:tcW w:w="188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Steady State Curving</w:t>
            </w:r>
          </w:p>
        </w:tc>
        <w:tc>
          <w:tcPr>
            <w:tcW w:w="99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4.1.2.1</w:t>
            </w:r>
          </w:p>
        </w:tc>
        <w:tc>
          <w:tcPr>
            <w:tcW w:w="3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95th percentile maximum wheel L/V</w:t>
            </w:r>
          </w:p>
        </w:tc>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0.8</w:t>
            </w:r>
          </w:p>
        </w:tc>
      </w:tr>
      <w:tr>
        <w:trPr>
          <w:trHeight w:val="1" w:hRule="atLeast"/>
          <w:jc w:val="center"/>
        </w:trPr>
        <w:tc>
          <w:tcPr>
            <w:tcW w:w="188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95th percentile maximum axle sum L/V</w:t>
            </w:r>
          </w:p>
        </w:tc>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1.5</w:t>
            </w:r>
          </w:p>
        </w:tc>
      </w:tr>
      <w:tr>
        <w:trPr>
          <w:trHeight w:val="1" w:hRule="atLeast"/>
          <w:jc w:val="center"/>
        </w:trPr>
        <w:tc>
          <w:tcPr>
            <w:tcW w:w="188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Spiral</w:t>
            </w:r>
          </w:p>
        </w:tc>
        <w:tc>
          <w:tcPr>
            <w:tcW w:w="99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4.1.2.3</w:t>
            </w:r>
          </w:p>
        </w:tc>
        <w:tc>
          <w:tcPr>
            <w:tcW w:w="3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minimum vertical load (%)</w:t>
            </w:r>
          </w:p>
        </w:tc>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10</w:t>
            </w:r>
          </w:p>
        </w:tc>
      </w:tr>
      <w:tr>
        <w:trPr>
          <w:trHeight w:val="1" w:hRule="atLeast"/>
          <w:jc w:val="center"/>
        </w:trPr>
        <w:tc>
          <w:tcPr>
            <w:tcW w:w="188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maximum wheel L/V</w:t>
            </w:r>
          </w:p>
        </w:tc>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1.0</w:t>
            </w:r>
            <w:r>
              <w:rPr>
                <w:rFonts w:ascii="Arial" w:hAnsi="Arial" w:cs="Arial" w:eastAsia="Arial"/>
                <w:color w:val="auto"/>
                <w:spacing w:val="0"/>
                <w:position w:val="0"/>
                <w:sz w:val="20"/>
                <w:shd w:fill="auto" w:val="clear"/>
                <w:vertAlign w:val="superscript"/>
              </w:rPr>
              <w:t xml:space="preserve">2</w:t>
            </w:r>
          </w:p>
        </w:tc>
      </w:tr>
      <w:tr>
        <w:trPr>
          <w:trHeight w:val="1" w:hRule="atLeast"/>
          <w:jc w:val="center"/>
        </w:trPr>
        <w:tc>
          <w:tcPr>
            <w:tcW w:w="188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maximum axle sum L/V</w:t>
            </w:r>
          </w:p>
        </w:tc>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1.5</w:t>
            </w:r>
            <w:r>
              <w:rPr>
                <w:rFonts w:ascii="Arial" w:hAnsi="Arial" w:cs="Arial" w:eastAsia="Arial"/>
                <w:color w:val="auto"/>
                <w:spacing w:val="0"/>
                <w:position w:val="0"/>
                <w:sz w:val="20"/>
                <w:shd w:fill="auto" w:val="clear"/>
                <w:vertAlign w:val="superscript"/>
              </w:rPr>
              <w:t xml:space="preserve">2</w:t>
            </w:r>
          </w:p>
        </w:tc>
      </w:tr>
      <w:tr>
        <w:trPr>
          <w:trHeight w:val="1" w:hRule="atLeast"/>
          <w:jc w:val="center"/>
        </w:trPr>
        <w:tc>
          <w:tcPr>
            <w:tcW w:w="188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Twist and Roll</w:t>
            </w:r>
          </w:p>
        </w:tc>
        <w:tc>
          <w:tcPr>
            <w:tcW w:w="99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4.1.2.5.1</w:t>
            </w:r>
          </w:p>
        </w:tc>
        <w:tc>
          <w:tcPr>
            <w:tcW w:w="3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maximum axle sum L/V</w:t>
            </w:r>
          </w:p>
        </w:tc>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1.5</w:t>
            </w:r>
            <w:r>
              <w:rPr>
                <w:rFonts w:ascii="Arial" w:hAnsi="Arial" w:cs="Arial" w:eastAsia="Arial"/>
                <w:color w:val="auto"/>
                <w:spacing w:val="0"/>
                <w:position w:val="0"/>
                <w:sz w:val="20"/>
                <w:shd w:fill="auto" w:val="clear"/>
                <w:vertAlign w:val="superscript"/>
              </w:rPr>
              <w:t xml:space="preserve">2</w:t>
            </w:r>
          </w:p>
        </w:tc>
      </w:tr>
      <w:tr>
        <w:trPr>
          <w:trHeight w:val="1" w:hRule="atLeast"/>
          <w:jc w:val="center"/>
        </w:trPr>
        <w:tc>
          <w:tcPr>
            <w:tcW w:w="188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minimum vertical load (%)</w:t>
            </w:r>
          </w:p>
        </w:tc>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10</w:t>
            </w:r>
            <w:r>
              <w:rPr>
                <w:rFonts w:ascii="Arial" w:hAnsi="Arial" w:cs="Arial" w:eastAsia="Arial"/>
                <w:color w:val="auto"/>
                <w:spacing w:val="0"/>
                <w:position w:val="0"/>
                <w:sz w:val="20"/>
                <w:shd w:fill="auto" w:val="clear"/>
                <w:vertAlign w:val="superscript"/>
              </w:rPr>
              <w:t xml:space="preserve">2</w:t>
            </w:r>
          </w:p>
        </w:tc>
      </w:tr>
      <w:tr>
        <w:trPr>
          <w:trHeight w:val="1" w:hRule="atLeast"/>
          <w:jc w:val="center"/>
        </w:trPr>
        <w:tc>
          <w:tcPr>
            <w:tcW w:w="188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dynamic augment acceleration (G)</w:t>
            </w:r>
          </w:p>
        </w:tc>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1.0</w:t>
            </w:r>
          </w:p>
        </w:tc>
      </w:tr>
      <w:tr>
        <w:trPr>
          <w:trHeight w:val="1" w:hRule="atLeast"/>
          <w:jc w:val="center"/>
        </w:trPr>
        <w:tc>
          <w:tcPr>
            <w:tcW w:w="188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spring capacity maximum (%, loaded only)</w:t>
            </w:r>
          </w:p>
        </w:tc>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95</w:t>
            </w:r>
          </w:p>
        </w:tc>
      </w:tr>
      <w:tr>
        <w:trPr>
          <w:trHeight w:val="1" w:hRule="atLeast"/>
          <w:jc w:val="center"/>
        </w:trPr>
        <w:tc>
          <w:tcPr>
            <w:tcW w:w="188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Pitch and Bounce</w:t>
            </w:r>
          </w:p>
        </w:tc>
        <w:tc>
          <w:tcPr>
            <w:tcW w:w="99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4.1.2.5.2</w:t>
            </w:r>
          </w:p>
        </w:tc>
        <w:tc>
          <w:tcPr>
            <w:tcW w:w="3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minimum vertical load (%)</w:t>
            </w:r>
          </w:p>
        </w:tc>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10</w:t>
            </w:r>
            <w:r>
              <w:rPr>
                <w:rFonts w:ascii="Arial" w:hAnsi="Arial" w:cs="Arial" w:eastAsia="Arial"/>
                <w:color w:val="auto"/>
                <w:spacing w:val="0"/>
                <w:position w:val="0"/>
                <w:sz w:val="20"/>
                <w:shd w:fill="auto" w:val="clear"/>
                <w:vertAlign w:val="superscript"/>
              </w:rPr>
              <w:t xml:space="preserve">2</w:t>
            </w:r>
            <w:r>
              <w:rPr>
                <w:rFonts w:ascii="Arial" w:hAnsi="Arial" w:cs="Arial" w:eastAsia="Arial"/>
                <w:color w:val="auto"/>
                <w:spacing w:val="0"/>
                <w:position w:val="0"/>
                <w:sz w:val="20"/>
                <w:shd w:fill="auto" w:val="clear"/>
              </w:rPr>
              <w:t xml:space="preserve">b</w:t>
            </w:r>
          </w:p>
        </w:tc>
      </w:tr>
      <w:tr>
        <w:trPr>
          <w:trHeight w:val="1" w:hRule="atLeast"/>
          <w:jc w:val="center"/>
        </w:trPr>
        <w:tc>
          <w:tcPr>
            <w:tcW w:w="188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dynamic augment acceleration (G)</w:t>
            </w:r>
          </w:p>
        </w:tc>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1.0</w:t>
            </w:r>
          </w:p>
        </w:tc>
      </w:tr>
      <w:tr>
        <w:trPr>
          <w:trHeight w:val="1" w:hRule="atLeast"/>
          <w:jc w:val="center"/>
        </w:trPr>
        <w:tc>
          <w:tcPr>
            <w:tcW w:w="188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spring capacity maximum (%, loaded only)</w:t>
            </w:r>
          </w:p>
        </w:tc>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95</w:t>
            </w:r>
          </w:p>
        </w:tc>
      </w:tr>
      <w:tr>
        <w:trPr>
          <w:trHeight w:val="1" w:hRule="atLeast"/>
          <w:jc w:val="center"/>
        </w:trPr>
        <w:tc>
          <w:tcPr>
            <w:tcW w:w="188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Yaw and Sway</w:t>
            </w:r>
          </w:p>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p>
        </w:tc>
        <w:tc>
          <w:tcPr>
            <w:tcW w:w="99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4.1.2.5.3</w:t>
            </w:r>
          </w:p>
        </w:tc>
        <w:tc>
          <w:tcPr>
            <w:tcW w:w="3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maximum L/V truck side</w:t>
            </w:r>
          </w:p>
        </w:tc>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0.7</w:t>
            </w:r>
          </w:p>
        </w:tc>
      </w:tr>
      <w:tr>
        <w:trPr>
          <w:trHeight w:val="1" w:hRule="atLeast"/>
          <w:jc w:val="center"/>
        </w:trPr>
        <w:tc>
          <w:tcPr>
            <w:tcW w:w="188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maximum axle sum L/V</w:t>
            </w:r>
          </w:p>
        </w:tc>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1.5</w:t>
            </w:r>
            <w:r>
              <w:rPr>
                <w:rFonts w:ascii="Arial" w:hAnsi="Arial" w:cs="Arial" w:eastAsia="Arial"/>
                <w:color w:val="auto"/>
                <w:spacing w:val="0"/>
                <w:position w:val="0"/>
                <w:sz w:val="20"/>
                <w:shd w:fill="auto" w:val="clear"/>
                <w:vertAlign w:val="superscript"/>
              </w:rPr>
              <w:t xml:space="preserve">2</w:t>
            </w:r>
          </w:p>
        </w:tc>
      </w:tr>
      <w:tr>
        <w:trPr>
          <w:trHeight w:val="1" w:hRule="atLeast"/>
          <w:jc w:val="center"/>
        </w:trPr>
        <w:tc>
          <w:tcPr>
            <w:tcW w:w="188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Dynamic Curving</w:t>
            </w:r>
          </w:p>
        </w:tc>
        <w:tc>
          <w:tcPr>
            <w:tcW w:w="99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4.1.2.5.4</w:t>
            </w:r>
          </w:p>
        </w:tc>
        <w:tc>
          <w:tcPr>
            <w:tcW w:w="3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maximum wheel L/V</w:t>
            </w:r>
          </w:p>
        </w:tc>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1.0</w:t>
            </w:r>
            <w:r>
              <w:rPr>
                <w:rFonts w:ascii="Arial" w:hAnsi="Arial" w:cs="Arial" w:eastAsia="Arial"/>
                <w:color w:val="auto"/>
                <w:spacing w:val="0"/>
                <w:position w:val="0"/>
                <w:sz w:val="20"/>
                <w:shd w:fill="auto" w:val="clear"/>
                <w:vertAlign w:val="superscript"/>
              </w:rPr>
              <w:t xml:space="preserve">2</w:t>
            </w:r>
          </w:p>
        </w:tc>
      </w:tr>
      <w:tr>
        <w:trPr>
          <w:trHeight w:val="1" w:hRule="atLeast"/>
          <w:jc w:val="center"/>
        </w:trPr>
        <w:tc>
          <w:tcPr>
            <w:tcW w:w="188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maximum axle sum L/V</w:t>
            </w:r>
          </w:p>
        </w:tc>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1.5</w:t>
            </w:r>
            <w:r>
              <w:rPr>
                <w:rFonts w:ascii="Arial" w:hAnsi="Arial" w:cs="Arial" w:eastAsia="Arial"/>
                <w:color w:val="auto"/>
                <w:spacing w:val="0"/>
                <w:position w:val="0"/>
                <w:sz w:val="20"/>
                <w:shd w:fill="auto" w:val="clear"/>
                <w:vertAlign w:val="superscript"/>
              </w:rPr>
              <w:t xml:space="preserve">2</w:t>
            </w:r>
          </w:p>
        </w:tc>
      </w:tr>
      <w:tr>
        <w:trPr>
          <w:trHeight w:val="1" w:hRule="atLeast"/>
          <w:jc w:val="center"/>
        </w:trPr>
        <w:tc>
          <w:tcPr>
            <w:tcW w:w="188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minimum vertical load (%)</w:t>
            </w:r>
          </w:p>
        </w:tc>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10</w:t>
            </w:r>
            <w:r>
              <w:rPr>
                <w:rFonts w:ascii="Arial" w:hAnsi="Arial" w:cs="Arial" w:eastAsia="Arial"/>
                <w:color w:val="auto"/>
                <w:spacing w:val="0"/>
                <w:position w:val="0"/>
                <w:sz w:val="20"/>
                <w:shd w:fill="auto" w:val="clear"/>
                <w:vertAlign w:val="superscript"/>
              </w:rPr>
              <w:t xml:space="preserve">2</w:t>
            </w:r>
          </w:p>
        </w:tc>
      </w:tr>
    </w:tbl>
    <w:p>
      <w:pPr>
        <w:keepNext w:val="true"/>
        <w:keepLines w:val="true"/>
        <w:tabs>
          <w:tab w:val="left" w:pos="360" w:leader="none"/>
          <w:tab w:val="left" w:pos="720" w:leader="none"/>
          <w:tab w:val="left" w:pos="1080" w:leader="none"/>
        </w:tabs>
        <w:spacing w:before="0" w:after="0" w:line="480"/>
        <w:ind w:right="0" w:left="0" w:firstLine="0"/>
        <w:jc w:val="left"/>
        <w:rPr>
          <w:rFonts w:ascii="Times New Roman" w:hAnsi="Times New Roman" w:cs="Times New Roman" w:eastAsia="Times New Roman"/>
          <w:color w:val="auto"/>
          <w:spacing w:val="0"/>
          <w:position w:val="0"/>
          <w:sz w:val="20"/>
          <w:shd w:fill="auto" w:val="clear"/>
        </w:rPr>
      </w:pPr>
    </w:p>
    <w:p>
      <w:pPr>
        <w:keepNext w:val="true"/>
        <w:numPr>
          <w:ilvl w:val="0"/>
          <w:numId w:val="402"/>
        </w:numPr>
        <w:tabs>
          <w:tab w:val="left" w:pos="540" w:leader="none"/>
        </w:tabs>
        <w:spacing w:before="360" w:after="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Measurements</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This section lists the measurements and instrumentation that will be used to measure the performance of the vehicle to verify safe test operation.  TTCI understand that PNNL will measure strains, accelerations, and other parameters on and inside the cask to document the shock and vibration environment.</w:t>
      </w:r>
    </w:p>
    <w:p>
      <w:pPr>
        <w:keepNext w:val="true"/>
        <w:numPr>
          <w:ilvl w:val="0"/>
          <w:numId w:val="404"/>
        </w:numPr>
        <w:tabs>
          <w:tab w:val="left" w:pos="540" w:leader="none"/>
        </w:tabs>
        <w:spacing w:before="36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Instrumented Wheelsets</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Instrumented wheelsets are railroad wheelsets designed to continuously measure the vertical, lateral, and longitudinal forces between the wheel and rail as a rail vehicle travels down the track.  Depending on what type of test cask car is selected for this test, instrumented wheel sets (IWS) will be installed in either axle positions axles 1 and 5 of an 8-axle car, or axle positions 1 and 7 of a 12-axle car.  Figure 9-8 shows an illustration of the likely train make-up scenarios, with the test car being either an 8-axle or 12-axle span-bolster flat car.  The figure also shows the proposed IWS positions for either vehicle type.</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left" w:pos="360" w:leader="none"/>
          <w:tab w:val="left" w:pos="720" w:leader="none"/>
          <w:tab w:val="left" w:pos="1080" w:leader="none"/>
        </w:tabs>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object w:dxaOrig="8668" w:dyaOrig="5385">
          <v:rect xmlns:o="urn:schemas-microsoft-com:office:office" xmlns:v="urn:schemas-microsoft-com:vml" id="rectole0000000014" style="width:433.400000pt;height:269.2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4" ShapeID="rectole0000000014" r:id="docRId30"/>
        </w:object>
      </w:r>
    </w:p>
    <w:p>
      <w:pPr>
        <w:tabs>
          <w:tab w:val="left" w:pos="360" w:leader="none"/>
          <w:tab w:val="left" w:pos="720" w:leader="none"/>
          <w:tab w:val="left" w:pos="1080" w:leader="none"/>
        </w:tabs>
        <w:spacing w:before="12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Figure .  Test Train Make-Up</w:t>
        <w:br/>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They type of IWS required will depend on the vehicle chosen to carry the cask.  TTCI can supply:</w:t>
      </w:r>
    </w:p>
    <w:p>
      <w:pPr>
        <w:numPr>
          <w:ilvl w:val="0"/>
          <w:numId w:val="409"/>
        </w:numPr>
        <w:tabs>
          <w:tab w:val="left" w:pos="16776136" w:leader="none"/>
          <w:tab w:val="left" w:pos="16776496" w:leader="none"/>
          <w:tab w:val="left" w:pos="0" w:leader="none"/>
          <w:tab w:val="left" w:pos="360" w:leader="none"/>
          <w:tab w:val="left" w:pos="720" w:leader="none"/>
          <w:tab w:val="left" w:pos="10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spacing w:before="0" w:after="12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Two 38-inch IWS with 7x12 (Class G) bearings.</w:t>
      </w:r>
    </w:p>
    <w:p>
      <w:pPr>
        <w:numPr>
          <w:ilvl w:val="0"/>
          <w:numId w:val="409"/>
        </w:numPr>
        <w:tabs>
          <w:tab w:val="left" w:pos="16776136" w:leader="none"/>
          <w:tab w:val="left" w:pos="16776496" w:leader="none"/>
          <w:tab w:val="left" w:pos="0" w:leader="none"/>
          <w:tab w:val="left" w:pos="360" w:leader="none"/>
          <w:tab w:val="left" w:pos="720" w:leader="none"/>
          <w:tab w:val="left" w:pos="10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spacing w:before="0" w:after="12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Two 36-inch IWS with 6 ½x12 (Class F) bearings.</w:t>
      </w:r>
    </w:p>
    <w:p>
      <w:pPr>
        <w:numPr>
          <w:ilvl w:val="0"/>
          <w:numId w:val="409"/>
        </w:numPr>
        <w:tabs>
          <w:tab w:val="left" w:pos="16776136" w:leader="none"/>
          <w:tab w:val="left" w:pos="16776496" w:leader="none"/>
          <w:tab w:val="left" w:pos="0" w:leader="none"/>
          <w:tab w:val="left" w:pos="360" w:leader="none"/>
          <w:tab w:val="left" w:pos="720" w:leader="none"/>
          <w:tab w:val="left" w:pos="10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spacing w:before="0" w:after="12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Two 36-inch IWS with 6 ½x9 (Class K) bearings</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Installation of the IWS requires the following steps</w:t>
      </w:r>
    </w:p>
    <w:p>
      <w:pPr>
        <w:numPr>
          <w:ilvl w:val="0"/>
          <w:numId w:val="411"/>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Disconnecting train line, brake hoses, and brake rigging connected between the car body and span bolster.</w:t>
      </w:r>
    </w:p>
    <w:p>
      <w:pPr>
        <w:numPr>
          <w:ilvl w:val="0"/>
          <w:numId w:val="411"/>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Jacking the car and rolling the span bolster from under the car</w:t>
      </w:r>
    </w:p>
    <w:p>
      <w:pPr>
        <w:numPr>
          <w:ilvl w:val="0"/>
          <w:numId w:val="411"/>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Disconnecting brake hoses and brake rigging connected between the span bolster and trucks.</w:t>
      </w:r>
    </w:p>
    <w:p>
      <w:pPr>
        <w:numPr>
          <w:ilvl w:val="0"/>
          <w:numId w:val="411"/>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Lifting of the span bolster and rolling out the truck</w:t>
      </w:r>
    </w:p>
    <w:p>
      <w:pPr>
        <w:numPr>
          <w:ilvl w:val="0"/>
          <w:numId w:val="411"/>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Disassembly of the brake rigging</w:t>
      </w:r>
    </w:p>
    <w:p>
      <w:pPr>
        <w:numPr>
          <w:ilvl w:val="0"/>
          <w:numId w:val="411"/>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Disconnecting brake hoses</w:t>
      </w:r>
    </w:p>
    <w:p>
      <w:pPr>
        <w:numPr>
          <w:ilvl w:val="0"/>
          <w:numId w:val="411"/>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Removal of targeted wheelsets for IWS replacement</w:t>
      </w:r>
    </w:p>
    <w:p>
      <w:pPr>
        <w:numPr>
          <w:ilvl w:val="0"/>
          <w:numId w:val="411"/>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Reassembly of the test car</w:t>
      </w:r>
    </w:p>
    <w:p>
      <w:pPr>
        <w:numPr>
          <w:ilvl w:val="0"/>
          <w:numId w:val="411"/>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Installation of spinning amplifiers to the IWS</w:t>
      </w:r>
    </w:p>
    <w:p>
      <w:pPr>
        <w:numPr>
          <w:ilvl w:val="0"/>
          <w:numId w:val="411"/>
        </w:numPr>
        <w:tabs>
          <w:tab w:val="left" w:pos="360" w:leader="none"/>
          <w:tab w:val="left" w:pos="720" w:leader="none"/>
          <w:tab w:val="left" w:pos="1080" w:leader="none"/>
        </w:tabs>
        <w:spacing w:before="0" w:after="120" w:line="240"/>
        <w:ind w:right="0" w:left="72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Cabling of the IWS to the instrumentation coach</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brakes are disabled on the car while IWS are installed.</w:t>
      </w:r>
    </w:p>
    <w:p>
      <w:pPr>
        <w:keepNext w:val="true"/>
        <w:numPr>
          <w:ilvl w:val="0"/>
          <w:numId w:val="413"/>
        </w:numPr>
        <w:tabs>
          <w:tab w:val="left" w:pos="540" w:leader="none"/>
        </w:tabs>
        <w:spacing w:before="36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Acceleration and Displacement Measurements</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This section lists the additional measurements and instrumentation that will be used to monitor the performance of the vehicle.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sign convention for the following measurements should be a right-hand rule with the longitudinal (x) along the track in direction of travel, lateral (y) positive to the left when facing the direction of travel, and the vertical (z) positive upwards.</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Tests will be conducted with the B-end leading.</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Table 9-6 lists the channels required for the hunting tests. </w:t>
      </w:r>
    </w:p>
    <w:p>
      <w:pPr>
        <w:keepNext w:val="true"/>
        <w:keepLines w:val="true"/>
        <w:tabs>
          <w:tab w:val="left" w:pos="360" w:leader="none"/>
          <w:tab w:val="left" w:pos="720" w:leader="none"/>
          <w:tab w:val="left" w:pos="1080" w:leader="none"/>
        </w:tabs>
        <w:spacing w:before="240" w:after="120" w:line="240"/>
        <w:ind w:right="0" w:left="0" w:firstLine="0"/>
        <w:jc w:val="left"/>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Table .  Measurement list for hunting tests</w:t>
      </w:r>
    </w:p>
    <w:tbl>
      <w:tblPr/>
      <w:tblGrid>
        <w:gridCol w:w="584"/>
        <w:gridCol w:w="1128"/>
        <w:gridCol w:w="1506"/>
        <w:gridCol w:w="1107"/>
        <w:gridCol w:w="1509"/>
        <w:gridCol w:w="943"/>
        <w:gridCol w:w="1173"/>
        <w:gridCol w:w="1550"/>
      </w:tblGrid>
      <w:tr>
        <w:trPr>
          <w:trHeight w:val="1" w:hRule="atLeast"/>
          <w:jc w:val="left"/>
        </w:trPr>
        <w:tc>
          <w:tcPr>
            <w:tcW w:w="5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Arial" w:hAnsi="Arial" w:cs="Arial" w:eastAsia="Arial"/>
                <w:b/>
                <w:color w:val="auto"/>
                <w:spacing w:val="0"/>
                <w:position w:val="0"/>
                <w:sz w:val="20"/>
                <w:shd w:fill="auto" w:val="clear"/>
              </w:rPr>
            </w:pPr>
          </w:p>
          <w:p>
            <w:pPr>
              <w:keepNext w:val="true"/>
              <w:keepLines w:val="true"/>
              <w:tabs>
                <w:tab w:val="left" w:pos="360" w:leader="none"/>
                <w:tab w:val="left" w:pos="720" w:leader="none"/>
                <w:tab w:val="left" w:pos="1080" w:leader="none"/>
              </w:tabs>
              <w:spacing w:before="0" w:after="0" w:line="240"/>
              <w:ind w:right="0" w:left="0" w:firstLine="0"/>
              <w:jc w:val="center"/>
              <w:rPr>
                <w:rFonts w:ascii="Arial" w:hAnsi="Arial" w:cs="Arial" w:eastAsia="Arial"/>
                <w:b/>
                <w:color w:val="auto"/>
                <w:spacing w:val="0"/>
                <w:position w:val="0"/>
                <w:sz w:val="20"/>
                <w:shd w:fill="auto" w:val="clear"/>
              </w:rPr>
            </w:pPr>
          </w:p>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NO.</w:t>
            </w:r>
          </w:p>
        </w:tc>
        <w:tc>
          <w:tcPr>
            <w:tcW w:w="11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Arial" w:hAnsi="Arial" w:cs="Arial" w:eastAsia="Arial"/>
                <w:b/>
                <w:color w:val="auto"/>
                <w:spacing w:val="0"/>
                <w:position w:val="0"/>
                <w:sz w:val="20"/>
                <w:shd w:fill="auto" w:val="clear"/>
              </w:rPr>
            </w:pPr>
          </w:p>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Channel Name</w:t>
            </w:r>
          </w:p>
        </w:tc>
        <w:tc>
          <w:tcPr>
            <w:tcW w:w="1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Measurement</w:t>
            </w:r>
          </w:p>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Description</w:t>
            </w:r>
          </w:p>
        </w:tc>
        <w:tc>
          <w:tcPr>
            <w:tcW w:w="11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Arial" w:hAnsi="Arial" w:cs="Arial" w:eastAsia="Arial"/>
                <w:b/>
                <w:color w:val="auto"/>
                <w:spacing w:val="0"/>
                <w:position w:val="0"/>
                <w:sz w:val="20"/>
                <w:shd w:fill="auto" w:val="clear"/>
              </w:rPr>
            </w:pPr>
          </w:p>
          <w:p>
            <w:pPr>
              <w:keepNext w:val="true"/>
              <w:keepLines w:val="true"/>
              <w:tabs>
                <w:tab w:val="left" w:pos="360" w:leader="none"/>
                <w:tab w:val="left" w:pos="720" w:leader="none"/>
                <w:tab w:val="left" w:pos="1080" w:leader="none"/>
              </w:tabs>
              <w:spacing w:before="0" w:after="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Expected</w:t>
            </w:r>
          </w:p>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Range</w:t>
            </w:r>
          </w:p>
        </w:tc>
        <w:tc>
          <w:tcPr>
            <w:tcW w:w="1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Measurement</w:t>
            </w:r>
          </w:p>
          <w:p>
            <w:pPr>
              <w:keepNext w:val="true"/>
              <w:keepLines w:val="true"/>
              <w:tabs>
                <w:tab w:val="left" w:pos="360" w:leader="none"/>
                <w:tab w:val="left" w:pos="720" w:leader="none"/>
                <w:tab w:val="left" w:pos="1080" w:leader="none"/>
              </w:tabs>
              <w:spacing w:before="0" w:after="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Frequency</w:t>
            </w:r>
          </w:p>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Response</w:t>
            </w:r>
          </w:p>
        </w:tc>
        <w:tc>
          <w:tcPr>
            <w:tcW w:w="9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Digital</w:t>
            </w:r>
          </w:p>
          <w:p>
            <w:pPr>
              <w:keepNext w:val="true"/>
              <w:keepLines w:val="true"/>
              <w:tabs>
                <w:tab w:val="left" w:pos="360" w:leader="none"/>
                <w:tab w:val="left" w:pos="720" w:leader="none"/>
                <w:tab w:val="left" w:pos="1080" w:leader="none"/>
              </w:tabs>
              <w:spacing w:before="0" w:after="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Sample</w:t>
            </w:r>
          </w:p>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Rate</w:t>
            </w:r>
          </w:p>
        </w:tc>
        <w:tc>
          <w:tcPr>
            <w:tcW w:w="11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Arial" w:hAnsi="Arial" w:cs="Arial" w:eastAsia="Arial"/>
                <w:b/>
                <w:color w:val="auto"/>
                <w:spacing w:val="0"/>
                <w:position w:val="0"/>
                <w:sz w:val="20"/>
                <w:shd w:fill="auto" w:val="clear"/>
              </w:rPr>
            </w:pPr>
          </w:p>
          <w:p>
            <w:pPr>
              <w:keepNext w:val="true"/>
              <w:keepLines w:val="true"/>
              <w:tabs>
                <w:tab w:val="left" w:pos="360" w:leader="none"/>
                <w:tab w:val="left" w:pos="720" w:leader="none"/>
                <w:tab w:val="left" w:pos="1080" w:leader="none"/>
              </w:tabs>
              <w:spacing w:before="0" w:after="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Estimated</w:t>
            </w:r>
          </w:p>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Accuracy</w:t>
            </w:r>
          </w:p>
        </w:tc>
        <w:tc>
          <w:tcPr>
            <w:tcW w:w="1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Special Comments/</w:t>
            </w:r>
          </w:p>
          <w:p>
            <w:pPr>
              <w:keepNext w:val="true"/>
              <w:keepLines w:val="true"/>
              <w:tabs>
                <w:tab w:val="left" w:pos="360" w:leader="none"/>
                <w:tab w:val="left" w:pos="720" w:leader="none"/>
                <w:tab w:val="left" w:pos="1080" w:leader="none"/>
              </w:tabs>
              <w:spacing w:before="0" w:after="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Data Collection</w:t>
            </w:r>
          </w:p>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Presentation Requirements</w:t>
            </w:r>
          </w:p>
        </w:tc>
      </w:tr>
      <w:tr>
        <w:trPr>
          <w:trHeight w:val="1" w:hRule="atLeast"/>
          <w:jc w:val="left"/>
        </w:trPr>
        <w:tc>
          <w:tcPr>
            <w:tcW w:w="5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w:t>
            </w:r>
          </w:p>
        </w:tc>
        <w:tc>
          <w:tcPr>
            <w:tcW w:w="11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Speed</w:t>
            </w:r>
          </w:p>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p>
        </w:tc>
        <w:tc>
          <w:tcPr>
            <w:tcW w:w="1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Speed</w:t>
            </w:r>
          </w:p>
        </w:tc>
        <w:tc>
          <w:tcPr>
            <w:tcW w:w="11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0-80mph</w:t>
            </w:r>
          </w:p>
        </w:tc>
        <w:tc>
          <w:tcPr>
            <w:tcW w:w="1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0-1Hz</w:t>
            </w:r>
          </w:p>
        </w:tc>
        <w:tc>
          <w:tcPr>
            <w:tcW w:w="9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200Hz</w:t>
            </w:r>
          </w:p>
        </w:tc>
        <w:tc>
          <w:tcPr>
            <w:tcW w:w="11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better than 1%</w:t>
            </w:r>
          </w:p>
        </w:tc>
        <w:tc>
          <w:tcPr>
            <w:tcW w:w="1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2</w:t>
            </w:r>
          </w:p>
        </w:tc>
        <w:tc>
          <w:tcPr>
            <w:tcW w:w="11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ALD</w:t>
            </w:r>
          </w:p>
        </w:tc>
        <w:tc>
          <w:tcPr>
            <w:tcW w:w="1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Automatic Location Device</w:t>
            </w:r>
          </w:p>
        </w:tc>
        <w:tc>
          <w:tcPr>
            <w:tcW w:w="11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0-5V</w:t>
            </w:r>
          </w:p>
        </w:tc>
        <w:tc>
          <w:tcPr>
            <w:tcW w:w="1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15Hz</w:t>
            </w:r>
          </w:p>
        </w:tc>
        <w:tc>
          <w:tcPr>
            <w:tcW w:w="9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200Hz</w:t>
            </w:r>
          </w:p>
        </w:tc>
        <w:tc>
          <w:tcPr>
            <w:tcW w:w="11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better than 2%</w:t>
            </w:r>
          </w:p>
        </w:tc>
        <w:tc>
          <w:tcPr>
            <w:tcW w:w="1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3</w:t>
            </w:r>
          </w:p>
        </w:tc>
        <w:tc>
          <w:tcPr>
            <w:tcW w:w="11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YACBB</w:t>
            </w:r>
          </w:p>
        </w:tc>
        <w:tc>
          <w:tcPr>
            <w:tcW w:w="1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Lead carbody lateral acceleration</w:t>
            </w:r>
          </w:p>
        </w:tc>
        <w:tc>
          <w:tcPr>
            <w:tcW w:w="11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between ±2g and ±10g</w:t>
            </w:r>
          </w:p>
        </w:tc>
        <w:tc>
          <w:tcPr>
            <w:tcW w:w="1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15Hz</w:t>
            </w:r>
          </w:p>
        </w:tc>
        <w:tc>
          <w:tcPr>
            <w:tcW w:w="9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200Hz</w:t>
            </w:r>
          </w:p>
        </w:tc>
        <w:tc>
          <w:tcPr>
            <w:tcW w:w="11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better than 1%</w:t>
            </w:r>
          </w:p>
        </w:tc>
        <w:tc>
          <w:tcPr>
            <w:tcW w:w="1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4</w:t>
            </w:r>
          </w:p>
        </w:tc>
        <w:tc>
          <w:tcPr>
            <w:tcW w:w="11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YACBA</w:t>
            </w:r>
          </w:p>
        </w:tc>
        <w:tc>
          <w:tcPr>
            <w:tcW w:w="1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Trail carbody lateral acceleration</w:t>
            </w:r>
          </w:p>
        </w:tc>
        <w:tc>
          <w:tcPr>
            <w:tcW w:w="11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between ±2g and ±10g</w:t>
            </w:r>
          </w:p>
        </w:tc>
        <w:tc>
          <w:tcPr>
            <w:tcW w:w="1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15Hz</w:t>
            </w:r>
          </w:p>
        </w:tc>
        <w:tc>
          <w:tcPr>
            <w:tcW w:w="9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200Hz</w:t>
            </w:r>
          </w:p>
        </w:tc>
        <w:tc>
          <w:tcPr>
            <w:tcW w:w="11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better than 1%</w:t>
            </w:r>
          </w:p>
        </w:tc>
        <w:tc>
          <w:tcPr>
            <w:tcW w:w="1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5</w:t>
            </w:r>
          </w:p>
        </w:tc>
        <w:tc>
          <w:tcPr>
            <w:tcW w:w="11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GPS</w:t>
            </w:r>
          </w:p>
        </w:tc>
        <w:tc>
          <w:tcPr>
            <w:tcW w:w="1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GPS</w:t>
            </w:r>
          </w:p>
        </w:tc>
        <w:tc>
          <w:tcPr>
            <w:tcW w:w="11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TTC</w:t>
            </w:r>
          </w:p>
        </w:tc>
        <w:tc>
          <w:tcPr>
            <w:tcW w:w="1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1Hz</w:t>
            </w:r>
          </w:p>
        </w:tc>
        <w:tc>
          <w:tcPr>
            <w:tcW w:w="9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1Hz</w:t>
            </w:r>
          </w:p>
        </w:tc>
        <w:tc>
          <w:tcPr>
            <w:tcW w:w="11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better than 1%</w:t>
            </w:r>
          </w:p>
        </w:tc>
        <w:tc>
          <w:tcPr>
            <w:tcW w:w="1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240" w:line="264"/>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9-7 shows the channel list for instrumented wheel set (IWS) testing.  </w:t>
      </w:r>
    </w:p>
    <w:p>
      <w:pPr>
        <w:keepNext w:val="true"/>
        <w:keepLines w:val="true"/>
        <w:tabs>
          <w:tab w:val="left" w:pos="360" w:leader="none"/>
          <w:tab w:val="left" w:pos="720" w:leader="none"/>
          <w:tab w:val="left" w:pos="1080" w:leader="none"/>
        </w:tabs>
        <w:spacing w:before="240" w:after="12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Table .  Measurement list for instrumented wheel set testing</w:t>
      </w:r>
    </w:p>
    <w:tbl>
      <w:tblPr/>
      <w:tblGrid>
        <w:gridCol w:w="572"/>
        <w:gridCol w:w="1060"/>
        <w:gridCol w:w="1589"/>
        <w:gridCol w:w="1149"/>
        <w:gridCol w:w="1506"/>
        <w:gridCol w:w="928"/>
        <w:gridCol w:w="1185"/>
        <w:gridCol w:w="1683"/>
      </w:tblGrid>
      <w:tr>
        <w:trPr>
          <w:trHeight w:val="1" w:hRule="atLeast"/>
          <w:jc w:val="left"/>
        </w:trPr>
        <w:tc>
          <w:tcPr>
            <w:tcW w:w="5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NO.</w:t>
            </w:r>
          </w:p>
        </w:tc>
        <w:tc>
          <w:tcPr>
            <w:tcW w:w="1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Channel Name</w:t>
            </w:r>
          </w:p>
        </w:tc>
        <w:tc>
          <w:tcPr>
            <w:tcW w:w="15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Measurement</w:t>
            </w:r>
          </w:p>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Description</w:t>
            </w:r>
          </w:p>
        </w:tc>
        <w:tc>
          <w:tcPr>
            <w:tcW w:w="11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Expected</w:t>
            </w:r>
          </w:p>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Range</w:t>
            </w:r>
          </w:p>
        </w:tc>
        <w:tc>
          <w:tcPr>
            <w:tcW w:w="1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Measurement</w:t>
            </w:r>
          </w:p>
          <w:p>
            <w:pPr>
              <w:keepNext w:val="true"/>
              <w:keepLines w:val="true"/>
              <w:tabs>
                <w:tab w:val="left" w:pos="360" w:leader="none"/>
                <w:tab w:val="left" w:pos="720" w:leader="none"/>
                <w:tab w:val="left" w:pos="1080" w:leader="none"/>
              </w:tabs>
              <w:spacing w:before="0" w:after="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Frequency</w:t>
            </w:r>
          </w:p>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Response</w:t>
            </w:r>
          </w:p>
        </w:tc>
        <w:tc>
          <w:tcPr>
            <w:tcW w:w="9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Digital</w:t>
            </w:r>
          </w:p>
          <w:p>
            <w:pPr>
              <w:keepNext w:val="true"/>
              <w:keepLines w:val="true"/>
              <w:tabs>
                <w:tab w:val="left" w:pos="360" w:leader="none"/>
                <w:tab w:val="left" w:pos="720" w:leader="none"/>
                <w:tab w:val="left" w:pos="1080" w:leader="none"/>
              </w:tabs>
              <w:spacing w:before="0" w:after="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Sample</w:t>
            </w:r>
          </w:p>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Rate</w:t>
            </w:r>
          </w:p>
        </w:tc>
        <w:tc>
          <w:tcPr>
            <w:tcW w:w="11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Estimated</w:t>
            </w:r>
          </w:p>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Accuracy</w:t>
            </w:r>
          </w:p>
        </w:tc>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Special Comments/</w:t>
            </w:r>
          </w:p>
          <w:p>
            <w:pPr>
              <w:keepNext w:val="true"/>
              <w:keepLines w:val="true"/>
              <w:tabs>
                <w:tab w:val="left" w:pos="360" w:leader="none"/>
                <w:tab w:val="left" w:pos="720" w:leader="none"/>
                <w:tab w:val="left" w:pos="1080" w:leader="none"/>
              </w:tabs>
              <w:spacing w:before="0" w:after="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Data Collection</w:t>
            </w:r>
          </w:p>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Presentation Requirements</w:t>
            </w:r>
          </w:p>
        </w:tc>
      </w:tr>
      <w:tr>
        <w:trPr>
          <w:trHeight w:val="1" w:hRule="atLeast"/>
          <w:jc w:val="left"/>
        </w:trPr>
        <w:tc>
          <w:tcPr>
            <w:tcW w:w="5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w:t>
            </w:r>
          </w:p>
        </w:tc>
        <w:tc>
          <w:tcPr>
            <w:tcW w:w="1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Speed</w:t>
            </w:r>
          </w:p>
        </w:tc>
        <w:tc>
          <w:tcPr>
            <w:tcW w:w="15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Speed</w:t>
            </w:r>
          </w:p>
        </w:tc>
        <w:tc>
          <w:tcPr>
            <w:tcW w:w="11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0-80mph</w:t>
            </w:r>
          </w:p>
        </w:tc>
        <w:tc>
          <w:tcPr>
            <w:tcW w:w="1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0-1Hz</w:t>
            </w:r>
          </w:p>
        </w:tc>
        <w:tc>
          <w:tcPr>
            <w:tcW w:w="9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600Hz</w:t>
            </w:r>
          </w:p>
        </w:tc>
        <w:tc>
          <w:tcPr>
            <w:tcW w:w="11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better than 1%</w:t>
            </w:r>
          </w:p>
        </w:tc>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2</w:t>
            </w:r>
          </w:p>
        </w:tc>
        <w:tc>
          <w:tcPr>
            <w:tcW w:w="1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ALD</w:t>
            </w:r>
          </w:p>
        </w:tc>
        <w:tc>
          <w:tcPr>
            <w:tcW w:w="15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Automatic Location Device</w:t>
            </w:r>
          </w:p>
        </w:tc>
        <w:tc>
          <w:tcPr>
            <w:tcW w:w="11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0-5V</w:t>
            </w:r>
          </w:p>
        </w:tc>
        <w:tc>
          <w:tcPr>
            <w:tcW w:w="1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15Hz</w:t>
            </w:r>
          </w:p>
        </w:tc>
        <w:tc>
          <w:tcPr>
            <w:tcW w:w="9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600Hz</w:t>
            </w:r>
          </w:p>
        </w:tc>
        <w:tc>
          <w:tcPr>
            <w:tcW w:w="11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better than 2%</w:t>
            </w:r>
          </w:p>
        </w:tc>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3</w:t>
            </w:r>
          </w:p>
        </w:tc>
        <w:tc>
          <w:tcPr>
            <w:tcW w:w="1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IWS in Axle 1</w:t>
            </w:r>
          </w:p>
        </w:tc>
        <w:tc>
          <w:tcPr>
            <w:tcW w:w="11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15Hz</w:t>
            </w:r>
          </w:p>
        </w:tc>
        <w:tc>
          <w:tcPr>
            <w:tcW w:w="9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600Hz</w:t>
            </w:r>
          </w:p>
        </w:tc>
        <w:tc>
          <w:tcPr>
            <w:tcW w:w="11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better than 5%</w:t>
            </w:r>
          </w:p>
        </w:tc>
        <w:tc>
          <w:tcPr>
            <w:tcW w:w="1683"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Display real time vert and L/V if using IWS capable of it</w:t>
            </w:r>
          </w:p>
        </w:tc>
      </w:tr>
      <w:tr>
        <w:trPr>
          <w:trHeight w:val="1" w:hRule="atLeast"/>
          <w:jc w:val="left"/>
        </w:trPr>
        <w:tc>
          <w:tcPr>
            <w:tcW w:w="5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4</w:t>
            </w:r>
          </w:p>
        </w:tc>
        <w:tc>
          <w:tcPr>
            <w:tcW w:w="1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IWS in Axle 5 or 7</w:t>
            </w:r>
          </w:p>
        </w:tc>
        <w:tc>
          <w:tcPr>
            <w:tcW w:w="11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15Hz</w:t>
            </w:r>
          </w:p>
        </w:tc>
        <w:tc>
          <w:tcPr>
            <w:tcW w:w="9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600Hz</w:t>
            </w:r>
          </w:p>
        </w:tc>
        <w:tc>
          <w:tcPr>
            <w:tcW w:w="11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better than 5%</w:t>
            </w:r>
          </w:p>
        </w:tc>
        <w:tc>
          <w:tcPr>
            <w:tcW w:w="1683"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p>
        </w:tc>
      </w:tr>
      <w:tr>
        <w:trPr>
          <w:trHeight w:val="1" w:hRule="atLeast"/>
          <w:jc w:val="left"/>
        </w:trPr>
        <w:tc>
          <w:tcPr>
            <w:tcW w:w="5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5</w:t>
            </w:r>
          </w:p>
        </w:tc>
        <w:tc>
          <w:tcPr>
            <w:tcW w:w="1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ZACBB</w:t>
            </w:r>
          </w:p>
        </w:tc>
        <w:tc>
          <w:tcPr>
            <w:tcW w:w="15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Lead carbody vertical acceleration</w:t>
            </w:r>
          </w:p>
        </w:tc>
        <w:tc>
          <w:tcPr>
            <w:tcW w:w="11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between ±2g and ±10g</w:t>
            </w:r>
          </w:p>
        </w:tc>
        <w:tc>
          <w:tcPr>
            <w:tcW w:w="1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15Hz</w:t>
            </w:r>
          </w:p>
        </w:tc>
        <w:tc>
          <w:tcPr>
            <w:tcW w:w="9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200Hz</w:t>
            </w:r>
          </w:p>
        </w:tc>
        <w:tc>
          <w:tcPr>
            <w:tcW w:w="11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better than 1%</w:t>
            </w:r>
          </w:p>
        </w:tc>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6</w:t>
            </w:r>
          </w:p>
        </w:tc>
        <w:tc>
          <w:tcPr>
            <w:tcW w:w="1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ZACBA</w:t>
            </w:r>
          </w:p>
        </w:tc>
        <w:tc>
          <w:tcPr>
            <w:tcW w:w="15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Trail carbody vertical acceleration</w:t>
            </w:r>
          </w:p>
        </w:tc>
        <w:tc>
          <w:tcPr>
            <w:tcW w:w="11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between ±2g and ±10g</w:t>
            </w:r>
          </w:p>
        </w:tc>
        <w:tc>
          <w:tcPr>
            <w:tcW w:w="1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15Hz</w:t>
            </w:r>
          </w:p>
        </w:tc>
        <w:tc>
          <w:tcPr>
            <w:tcW w:w="9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200Hz</w:t>
            </w:r>
          </w:p>
        </w:tc>
        <w:tc>
          <w:tcPr>
            <w:tcW w:w="11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better than 1%</w:t>
            </w:r>
          </w:p>
        </w:tc>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7</w:t>
            </w:r>
          </w:p>
        </w:tc>
        <w:tc>
          <w:tcPr>
            <w:tcW w:w="1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ZDSNBL</w:t>
            </w:r>
          </w:p>
        </w:tc>
        <w:tc>
          <w:tcPr>
            <w:tcW w:w="15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Vertical Displacement B-end Left Side</w:t>
            </w:r>
          </w:p>
        </w:tc>
        <w:tc>
          <w:tcPr>
            <w:tcW w:w="11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&gt;5 inch</w:t>
            </w:r>
          </w:p>
        </w:tc>
        <w:tc>
          <w:tcPr>
            <w:tcW w:w="1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15Hz</w:t>
            </w:r>
          </w:p>
        </w:tc>
        <w:tc>
          <w:tcPr>
            <w:tcW w:w="9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600Hz</w:t>
            </w:r>
          </w:p>
        </w:tc>
        <w:tc>
          <w:tcPr>
            <w:tcW w:w="11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better than 1%</w:t>
            </w:r>
          </w:p>
        </w:tc>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8</w:t>
            </w:r>
          </w:p>
        </w:tc>
        <w:tc>
          <w:tcPr>
            <w:tcW w:w="1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ZDSNBR</w:t>
            </w:r>
          </w:p>
        </w:tc>
        <w:tc>
          <w:tcPr>
            <w:tcW w:w="15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Vertical Displacement B-end Right Side</w:t>
            </w:r>
          </w:p>
        </w:tc>
        <w:tc>
          <w:tcPr>
            <w:tcW w:w="11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&gt;5 inch</w:t>
            </w:r>
          </w:p>
        </w:tc>
        <w:tc>
          <w:tcPr>
            <w:tcW w:w="1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15Hz</w:t>
            </w:r>
          </w:p>
        </w:tc>
        <w:tc>
          <w:tcPr>
            <w:tcW w:w="9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600Hz</w:t>
            </w:r>
          </w:p>
        </w:tc>
        <w:tc>
          <w:tcPr>
            <w:tcW w:w="11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better than 1%</w:t>
            </w:r>
          </w:p>
        </w:tc>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9</w:t>
            </w:r>
          </w:p>
        </w:tc>
        <w:tc>
          <w:tcPr>
            <w:tcW w:w="1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ZDSNAL</w:t>
            </w:r>
          </w:p>
        </w:tc>
        <w:tc>
          <w:tcPr>
            <w:tcW w:w="15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Vertical Displacement A-end Left Side</w:t>
            </w:r>
          </w:p>
        </w:tc>
        <w:tc>
          <w:tcPr>
            <w:tcW w:w="11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&gt;5 inch</w:t>
            </w:r>
          </w:p>
        </w:tc>
        <w:tc>
          <w:tcPr>
            <w:tcW w:w="1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15Hz</w:t>
            </w:r>
          </w:p>
        </w:tc>
        <w:tc>
          <w:tcPr>
            <w:tcW w:w="9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600Hz</w:t>
            </w:r>
          </w:p>
        </w:tc>
        <w:tc>
          <w:tcPr>
            <w:tcW w:w="11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better than 1%</w:t>
            </w:r>
          </w:p>
        </w:tc>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10</w:t>
            </w:r>
          </w:p>
        </w:tc>
        <w:tc>
          <w:tcPr>
            <w:tcW w:w="1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ZDSNAR</w:t>
            </w:r>
          </w:p>
        </w:tc>
        <w:tc>
          <w:tcPr>
            <w:tcW w:w="15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Vertical Displacement A-end Right Side</w:t>
            </w:r>
          </w:p>
        </w:tc>
        <w:tc>
          <w:tcPr>
            <w:tcW w:w="11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&gt;5 inch</w:t>
            </w:r>
          </w:p>
        </w:tc>
        <w:tc>
          <w:tcPr>
            <w:tcW w:w="1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15Hz</w:t>
            </w:r>
          </w:p>
        </w:tc>
        <w:tc>
          <w:tcPr>
            <w:tcW w:w="9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600Hz</w:t>
            </w:r>
          </w:p>
        </w:tc>
        <w:tc>
          <w:tcPr>
            <w:tcW w:w="11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better than 1%</w:t>
            </w:r>
          </w:p>
        </w:tc>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11</w:t>
            </w:r>
          </w:p>
        </w:tc>
        <w:tc>
          <w:tcPr>
            <w:tcW w:w="1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GPS</w:t>
            </w:r>
          </w:p>
        </w:tc>
        <w:tc>
          <w:tcPr>
            <w:tcW w:w="15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GPS</w:t>
            </w:r>
          </w:p>
        </w:tc>
        <w:tc>
          <w:tcPr>
            <w:tcW w:w="11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TTC</w:t>
            </w:r>
          </w:p>
        </w:tc>
        <w:tc>
          <w:tcPr>
            <w:tcW w:w="1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1Hz</w:t>
            </w:r>
          </w:p>
        </w:tc>
        <w:tc>
          <w:tcPr>
            <w:tcW w:w="9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Cambria Math" w:hAnsi="Cambria Math" w:cs="Cambria Math" w:eastAsia="Cambria Math"/>
                <w:color w:val="auto"/>
                <w:spacing w:val="0"/>
                <w:position w:val="0"/>
                <w:sz w:val="20"/>
                <w:shd w:fill="auto" w:val="clear"/>
              </w:rPr>
              <w:t xml:space="preserve">≥</w:t>
            </w:r>
            <w:r>
              <w:rPr>
                <w:rFonts w:ascii="Arial" w:hAnsi="Arial" w:cs="Arial" w:eastAsia="Arial"/>
                <w:color w:val="auto"/>
                <w:spacing w:val="0"/>
                <w:position w:val="0"/>
                <w:sz w:val="20"/>
                <w:shd w:fill="auto" w:val="clear"/>
              </w:rPr>
              <w:t xml:space="preserve">1Hz</w:t>
            </w:r>
          </w:p>
        </w:tc>
        <w:tc>
          <w:tcPr>
            <w:tcW w:w="11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better than 1%</w:t>
            </w:r>
          </w:p>
        </w:tc>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360" w:leader="none"/>
          <w:tab w:val="left" w:pos="720" w:leader="none"/>
          <w:tab w:val="left" w:pos="1080" w:leader="none"/>
        </w:tabs>
        <w:spacing w:before="0" w:after="240" w:line="264"/>
        <w:ind w:right="0" w:left="0" w:firstLine="720"/>
        <w:jc w:val="left"/>
        <w:rPr>
          <w:rFonts w:ascii="Times New Roman" w:hAnsi="Times New Roman" w:cs="Times New Roman" w:eastAsia="Times New Roman"/>
          <w:color w:val="auto"/>
          <w:spacing w:val="0"/>
          <w:position w:val="0"/>
          <w:sz w:val="24"/>
          <w:shd w:fill="auto" w:val="clear"/>
        </w:rPr>
      </w:pPr>
    </w:p>
    <w:p>
      <w:pPr>
        <w:keepNext w:val="true"/>
        <w:numPr>
          <w:ilvl w:val="0"/>
          <w:numId w:val="464"/>
        </w:numPr>
        <w:tabs>
          <w:tab w:val="left" w:pos="540" w:leader="none"/>
        </w:tabs>
        <w:spacing w:before="360" w:after="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Test Matrix/Run List</w:t>
      </w:r>
    </w:p>
    <w:p>
      <w:pPr>
        <w:tabs>
          <w:tab w:val="left" w:pos="360" w:leader="none"/>
          <w:tab w:val="left" w:pos="720" w:leader="none"/>
          <w:tab w:val="left" w:pos="1080" w:leader="none"/>
        </w:tabs>
        <w:spacing w:before="0" w:after="240" w:line="264"/>
        <w:ind w:right="0" w:left="0" w:firstLine="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The test matrix is grouped into sections according to the test.  The order of the tests is not important.  It will be determined by the project manager based on customer preference and test logistics.</w:t>
      </w:r>
    </w:p>
    <w:p>
      <w:pPr>
        <w:tabs>
          <w:tab w:val="left" w:pos="360" w:leader="none"/>
          <w:tab w:val="left" w:pos="720" w:leader="none"/>
          <w:tab w:val="left" w:pos="1080" w:leader="none"/>
        </w:tabs>
        <w:spacing w:before="0" w:after="240" w:line="264"/>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run lists are presented in tables.  The filenames and worst case data value for each run can be entered in the table as a run log or checklist.</w:t>
      </w:r>
    </w:p>
    <w:p>
      <w:pPr>
        <w:keepNext w:val="true"/>
        <w:numPr>
          <w:ilvl w:val="0"/>
          <w:numId w:val="466"/>
        </w:numPr>
        <w:tabs>
          <w:tab w:val="left" w:pos="540" w:leader="none"/>
        </w:tabs>
        <w:spacing w:before="36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Test Configuration</w:t>
      </w:r>
    </w:p>
    <w:p>
      <w:pPr>
        <w:tabs>
          <w:tab w:val="left" w:pos="360" w:leader="none"/>
          <w:tab w:val="left" w:pos="720" w:leader="none"/>
          <w:tab w:val="left" w:pos="1080" w:leader="none"/>
        </w:tabs>
        <w:spacing w:before="0" w:after="240" w:line="264"/>
        <w:ind w:right="0" w:left="0" w:firstLine="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Perform tests with the B-end leading.  If possible, obtain a general arrangement drawing of the car and trucks from the customer or supplier.  Document the following for the truck configuration.  Table 9-8 is configured for a typical 4-axle car and may require expansion depending on the specific car selected to carry the cask. </w:t>
      </w:r>
    </w:p>
    <w:p>
      <w:pPr>
        <w:tabs>
          <w:tab w:val="left" w:pos="360" w:leader="none"/>
          <w:tab w:val="left" w:pos="720" w:leader="none"/>
          <w:tab w:val="left" w:pos="1080" w:leader="none"/>
        </w:tabs>
        <w:spacing w:before="240" w:after="12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Table .  Test Configuration</w:t>
      </w:r>
    </w:p>
    <w:tbl>
      <w:tblPr/>
      <w:tblGrid>
        <w:gridCol w:w="4665"/>
        <w:gridCol w:w="1357"/>
        <w:gridCol w:w="281"/>
        <w:gridCol w:w="281"/>
        <w:gridCol w:w="1357"/>
        <w:gridCol w:w="1419"/>
      </w:tblGrid>
      <w:tr>
        <w:trPr>
          <w:trHeight w:val="1" w:hRule="atLeast"/>
          <w:jc w:val="center"/>
        </w:trPr>
        <w:tc>
          <w:tcPr>
            <w:tcW w:w="4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Parameter</w:t>
            </w:r>
          </w:p>
        </w:tc>
        <w:tc>
          <w:tcPr>
            <w:tcW w:w="4695"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Description</w:t>
            </w:r>
          </w:p>
        </w:tc>
      </w:tr>
      <w:tr>
        <w:trPr>
          <w:trHeight w:val="1" w:hRule="atLeast"/>
          <w:jc w:val="center"/>
        </w:trPr>
        <w:tc>
          <w:tcPr>
            <w:tcW w:w="4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Secondary Suspension</w:t>
            </w:r>
          </w:p>
        </w:tc>
        <w:tc>
          <w:tcPr>
            <w:tcW w:w="4695"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Spring configuration including side coils</w:t>
            </w:r>
          </w:p>
        </w:tc>
      </w:tr>
      <w:tr>
        <w:trPr>
          <w:trHeight w:val="1" w:hRule="atLeast"/>
          <w:jc w:val="center"/>
        </w:trPr>
        <w:tc>
          <w:tcPr>
            <w:tcW w:w="4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Primary Suspension</w:t>
            </w:r>
          </w:p>
        </w:tc>
        <w:tc>
          <w:tcPr>
            <w:tcW w:w="4695"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Make and Model</w:t>
            </w:r>
          </w:p>
        </w:tc>
      </w:tr>
      <w:tr>
        <w:trPr>
          <w:trHeight w:val="1" w:hRule="atLeast"/>
          <w:jc w:val="center"/>
        </w:trPr>
        <w:tc>
          <w:tcPr>
            <w:tcW w:w="4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Sideframes</w:t>
            </w:r>
          </w:p>
        </w:tc>
        <w:tc>
          <w:tcPr>
            <w:tcW w:w="4695"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Serial Numbers, Pattern numbers</w:t>
            </w:r>
          </w:p>
        </w:tc>
      </w:tr>
      <w:tr>
        <w:trPr>
          <w:trHeight w:val="1" w:hRule="atLeast"/>
          <w:jc w:val="center"/>
        </w:trPr>
        <w:tc>
          <w:tcPr>
            <w:tcW w:w="4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Bolsters</w:t>
            </w:r>
          </w:p>
        </w:tc>
        <w:tc>
          <w:tcPr>
            <w:tcW w:w="4695"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Serial Numbers, Pattern numbers</w:t>
            </w:r>
          </w:p>
        </w:tc>
      </w:tr>
      <w:tr>
        <w:trPr>
          <w:trHeight w:val="1" w:hRule="atLeast"/>
          <w:jc w:val="center"/>
        </w:trPr>
        <w:tc>
          <w:tcPr>
            <w:tcW w:w="4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Side Bearings</w:t>
            </w:r>
          </w:p>
        </w:tc>
        <w:tc>
          <w:tcPr>
            <w:tcW w:w="4695"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Make and Model </w:t>
            </w:r>
          </w:p>
        </w:tc>
      </w:tr>
      <w:tr>
        <w:trPr>
          <w:trHeight w:val="1" w:hRule="atLeast"/>
          <w:jc w:val="center"/>
        </w:trPr>
        <w:tc>
          <w:tcPr>
            <w:tcW w:w="4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Friction Wedge</w:t>
            </w:r>
          </w:p>
        </w:tc>
        <w:tc>
          <w:tcPr>
            <w:tcW w:w="4695"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Make and Model</w:t>
            </w:r>
          </w:p>
        </w:tc>
      </w:tr>
      <w:tr>
        <w:trPr>
          <w:trHeight w:val="1" w:hRule="atLeast"/>
          <w:jc w:val="center"/>
        </w:trPr>
        <w:tc>
          <w:tcPr>
            <w:tcW w:w="4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Bearing Adapter</w:t>
            </w:r>
          </w:p>
        </w:tc>
        <w:tc>
          <w:tcPr>
            <w:tcW w:w="4695"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Make, Model, Size</w:t>
            </w:r>
          </w:p>
        </w:tc>
      </w:tr>
      <w:tr>
        <w:trPr>
          <w:trHeight w:val="1" w:hRule="atLeast"/>
          <w:jc w:val="center"/>
        </w:trPr>
        <w:tc>
          <w:tcPr>
            <w:tcW w:w="4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Center Bowl Liner (span bolster if applicable)</w:t>
            </w:r>
          </w:p>
        </w:tc>
        <w:tc>
          <w:tcPr>
            <w:tcW w:w="4695"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Make, Model, Type</w:t>
            </w:r>
          </w:p>
        </w:tc>
      </w:tr>
      <w:tr>
        <w:trPr>
          <w:trHeight w:val="1" w:hRule="atLeast"/>
          <w:jc w:val="center"/>
        </w:trPr>
        <w:tc>
          <w:tcPr>
            <w:tcW w:w="4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4695"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4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638"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A-End</w:t>
            </w:r>
          </w:p>
        </w:tc>
        <w:tc>
          <w:tcPr>
            <w:tcW w:w="3057"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B-End</w:t>
            </w:r>
          </w:p>
        </w:tc>
      </w:tr>
      <w:tr>
        <w:trPr>
          <w:trHeight w:val="1" w:hRule="atLeast"/>
          <w:jc w:val="center"/>
        </w:trPr>
        <w:tc>
          <w:tcPr>
            <w:tcW w:w="4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Cask car weight (pounds)</w:t>
            </w:r>
          </w:p>
        </w:tc>
        <w:tc>
          <w:tcPr>
            <w:tcW w:w="1638"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057"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4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638"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057"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4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638"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057"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4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BL</w:t>
            </w:r>
          </w:p>
        </w:tc>
        <w:tc>
          <w:tcPr>
            <w:tcW w:w="56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BR</w:t>
            </w:r>
          </w:p>
        </w:tc>
        <w:tc>
          <w:tcPr>
            <w:tcW w:w="13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AL</w:t>
            </w:r>
          </w:p>
        </w:tc>
        <w:tc>
          <w:tcPr>
            <w:tcW w:w="14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AR</w:t>
            </w:r>
          </w:p>
        </w:tc>
      </w:tr>
      <w:tr>
        <w:trPr>
          <w:trHeight w:val="1" w:hRule="atLeast"/>
          <w:jc w:val="center"/>
        </w:trPr>
        <w:tc>
          <w:tcPr>
            <w:tcW w:w="4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Spring Nest Height (inches)</w:t>
            </w:r>
          </w:p>
        </w:tc>
        <w:tc>
          <w:tcPr>
            <w:tcW w:w="13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56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4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4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Side Bearing Height (inches)</w:t>
            </w:r>
          </w:p>
        </w:tc>
        <w:tc>
          <w:tcPr>
            <w:tcW w:w="13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56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4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4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Free height of main coils (inches)</w:t>
            </w:r>
          </w:p>
        </w:tc>
        <w:tc>
          <w:tcPr>
            <w:tcW w:w="13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56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4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46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Solid height (inches)</w:t>
            </w:r>
          </w:p>
        </w:tc>
        <w:tc>
          <w:tcPr>
            <w:tcW w:w="13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56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4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Note:  This table is presented as a template and may differ depending on the vehicle type.</w:t>
      </w:r>
    </w:p>
    <w:p>
      <w:pPr>
        <w:keepNext w:val="true"/>
        <w:numPr>
          <w:ilvl w:val="0"/>
          <w:numId w:val="514"/>
        </w:numPr>
        <w:tabs>
          <w:tab w:val="left" w:pos="540" w:leader="none"/>
        </w:tabs>
        <w:spacing w:before="36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Crossing Diamond Tests</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There is currently a 78-degree crossing diamond installed in the HTL loop at TTC.  The car may be tested at up to 40 mph over the diamond crossing.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TTCI may need to remove this diamond from the track depending on how it performs during FAST testing so it may not be available for the PNNL test.  If the diamond is not available TTCI will simulate a diamond by grinding an appropriate gap pattern, including nominal rail batter, into a tangent segment of rail.  This gap pattern could be installed on the TTT loop in a zone designed for installation of special perturbations.</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Table 9-9 shows recommended runs for the crossing diamond test.  To avoid damage to the instrumented wheelsets the unfiltered vertical wheel force will be monitored during the test.  If the maximum vertical force exceeds 100 kips the test speed will not be increased further.</w:t>
      </w:r>
    </w:p>
    <w:p>
      <w:pPr>
        <w:keepNext w:val="true"/>
        <w:keepLines w:val="true"/>
        <w:tabs>
          <w:tab w:val="left" w:pos="360" w:leader="none"/>
          <w:tab w:val="left" w:pos="720" w:leader="none"/>
          <w:tab w:val="left" w:pos="1080" w:leader="none"/>
        </w:tabs>
        <w:spacing w:before="240" w:after="12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Table . Crossing diamond test runs.</w:t>
      </w:r>
    </w:p>
    <w:tbl>
      <w:tblPr/>
      <w:tblGrid>
        <w:gridCol w:w="1083"/>
        <w:gridCol w:w="1244"/>
        <w:gridCol w:w="3396"/>
        <w:gridCol w:w="2887"/>
      </w:tblGrid>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Filename</w:t>
            </w:r>
          </w:p>
        </w:tc>
        <w:tc>
          <w:tcPr>
            <w:tcW w:w="12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Speed (mph)</w:t>
            </w:r>
          </w:p>
        </w:tc>
        <w:tc>
          <w:tcPr>
            <w:tcW w:w="3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Maximum carbody vertical acceleration (g)</w:t>
            </w:r>
          </w:p>
        </w:tc>
        <w:tc>
          <w:tcPr>
            <w:tcW w:w="2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Maximum vertical wheel force (kips)</w:t>
            </w: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2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10</w:t>
            </w:r>
          </w:p>
        </w:tc>
        <w:tc>
          <w:tcPr>
            <w:tcW w:w="3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2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2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20</w:t>
            </w:r>
          </w:p>
        </w:tc>
        <w:tc>
          <w:tcPr>
            <w:tcW w:w="3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2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2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25</w:t>
            </w:r>
          </w:p>
        </w:tc>
        <w:tc>
          <w:tcPr>
            <w:tcW w:w="3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2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2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30</w:t>
            </w:r>
          </w:p>
        </w:tc>
        <w:tc>
          <w:tcPr>
            <w:tcW w:w="3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2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2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35</w:t>
            </w:r>
          </w:p>
        </w:tc>
        <w:tc>
          <w:tcPr>
            <w:tcW w:w="3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2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2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40</w:t>
            </w:r>
          </w:p>
        </w:tc>
        <w:tc>
          <w:tcPr>
            <w:tcW w:w="3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2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bl>
    <w:p>
      <w:pPr>
        <w:keepNext w:val="true"/>
        <w:numPr>
          <w:ilvl w:val="0"/>
          <w:numId w:val="545"/>
        </w:numPr>
        <w:tabs>
          <w:tab w:val="left" w:pos="540" w:leader="none"/>
        </w:tabs>
        <w:spacing w:before="36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Hunting</w:t>
      </w:r>
    </w:p>
    <w:p>
      <w:pPr>
        <w:tabs>
          <w:tab w:val="left" w:pos="360" w:leader="none"/>
          <w:tab w:val="left" w:pos="720" w:leader="none"/>
          <w:tab w:val="left" w:pos="1080" w:leader="none"/>
        </w:tabs>
        <w:spacing w:before="0" w:after="240" w:line="264"/>
        <w:ind w:right="0" w:left="0" w:firstLine="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Hunting tests are typically performed on the RTT track between R39 and R33.5.  However, for the purpose of this project, which is to expose the test cask to a dynamic environment, TTCI recommends the entire RTT loop be traversed as opposed to the designated test section only.  This will allow running at higher speed over other typical track features such as turnouts. </w:t>
      </w:r>
    </w:p>
    <w:p>
      <w:pPr>
        <w:tabs>
          <w:tab w:val="left" w:pos="360" w:leader="none"/>
          <w:tab w:val="left" w:pos="720" w:leader="none"/>
          <w:tab w:val="left" w:pos="1080" w:leader="none"/>
        </w:tabs>
        <w:spacing w:before="0" w:after="240" w:line="264"/>
        <w:ind w:right="0" w:left="0" w:firstLine="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The RTT track is the standard track used for hunting tests.  As TTC’s high speed test loop, the RTT is maintained to very tight track geometry requirements.  The TTT track is also suitable for test speeds up to 75 mph.  The track geometry of the TTT is not maintained to as tight a tolerance as the RTT.  The different sections of the TTT have a variety to rail, tie, and fastener conditions.   For these reasons, TTCI recommends that the hunting test be performed on the TTT in addition to the RTT so a wider variety of inputs may be measured.</w:t>
      </w:r>
    </w:p>
    <w:p>
      <w:pPr>
        <w:tabs>
          <w:tab w:val="left" w:pos="360" w:leader="none"/>
          <w:tab w:val="left" w:pos="720" w:leader="none"/>
          <w:tab w:val="left" w:pos="1080" w:leader="none"/>
        </w:tabs>
        <w:spacing w:before="0" w:after="240" w:line="264"/>
        <w:ind w:right="0" w:left="0" w:firstLine="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The test requirements are:</w:t>
      </w:r>
    </w:p>
    <w:p>
      <w:pPr>
        <w:numPr>
          <w:ilvl w:val="0"/>
          <w:numId w:val="547"/>
        </w:numPr>
        <w:tabs>
          <w:tab w:val="left" w:pos="360" w:leader="none"/>
          <w:tab w:val="left" w:pos="720" w:leader="none"/>
          <w:tab w:val="left" w:pos="1080" w:leader="none"/>
        </w:tabs>
        <w:spacing w:before="0" w:after="240" w:line="264"/>
        <w:ind w:right="0" w:left="840" w:hanging="36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KR wheel profiles (there may only be four KR wheelsets available depending on the test car chosen)</w:t>
      </w:r>
    </w:p>
    <w:p>
      <w:pPr>
        <w:numPr>
          <w:ilvl w:val="0"/>
          <w:numId w:val="547"/>
        </w:numPr>
        <w:tabs>
          <w:tab w:val="left" w:pos="360" w:leader="none"/>
          <w:tab w:val="left" w:pos="720" w:leader="none"/>
          <w:tab w:val="left" w:pos="1080" w:leader="none"/>
        </w:tabs>
        <w:spacing w:before="0" w:after="240" w:line="264"/>
        <w:ind w:right="0" w:left="8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Dry rail, measure and document rail friction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0.4</w:t>
      </w:r>
    </w:p>
    <w:p>
      <w:pPr>
        <w:numPr>
          <w:ilvl w:val="0"/>
          <w:numId w:val="547"/>
        </w:numPr>
        <w:tabs>
          <w:tab w:val="left" w:pos="360" w:leader="none"/>
          <w:tab w:val="left" w:pos="720" w:leader="none"/>
          <w:tab w:val="left" w:pos="1080" w:leader="none"/>
        </w:tabs>
        <w:spacing w:before="0" w:after="240" w:line="264"/>
        <w:ind w:right="0" w:left="8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Leading stable buffer car (the instrumentation coach)</w:t>
      </w:r>
    </w:p>
    <w:p>
      <w:pPr>
        <w:numPr>
          <w:ilvl w:val="0"/>
          <w:numId w:val="547"/>
        </w:numPr>
        <w:tabs>
          <w:tab w:val="left" w:pos="360" w:leader="none"/>
          <w:tab w:val="left" w:pos="720" w:leader="none"/>
          <w:tab w:val="left" w:pos="1080" w:leader="none"/>
        </w:tabs>
        <w:spacing w:before="0" w:after="240" w:line="264"/>
        <w:ind w:right="0" w:left="8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trailing buffer car</w:t>
      </w:r>
    </w:p>
    <w:p>
      <w:pPr>
        <w:tabs>
          <w:tab w:val="left" w:pos="360" w:leader="none"/>
          <w:tab w:val="left" w:pos="720" w:leader="none"/>
          <w:tab w:val="left" w:pos="1080" w:leader="none"/>
        </w:tabs>
        <w:spacing w:before="0" w:after="240" w:line="264"/>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9-10 shows recommended runs for the hunting test.</w:t>
      </w:r>
    </w:p>
    <w:p>
      <w:pPr>
        <w:keepNext w:val="true"/>
        <w:keepLines w:val="true"/>
        <w:tabs>
          <w:tab w:val="left" w:pos="360" w:leader="none"/>
          <w:tab w:val="left" w:pos="720" w:leader="none"/>
          <w:tab w:val="left" w:pos="1080" w:leader="none"/>
        </w:tabs>
        <w:spacing w:before="240" w:after="12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Table . Hunting test runs.</w:t>
      </w:r>
    </w:p>
    <w:tbl>
      <w:tblPr/>
      <w:tblGrid>
        <w:gridCol w:w="1083"/>
        <w:gridCol w:w="1078"/>
        <w:gridCol w:w="750"/>
        <w:gridCol w:w="2760"/>
        <w:gridCol w:w="3689"/>
      </w:tblGrid>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Filename</w:t>
            </w: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Speed (mph)</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Track</w:t>
            </w:r>
          </w:p>
        </w:tc>
        <w:tc>
          <w:tcPr>
            <w:tcW w:w="27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Maximum peak-to-peak lateral acceleration (g)</w:t>
            </w:r>
          </w:p>
        </w:tc>
        <w:tc>
          <w:tcPr>
            <w:tcW w:w="3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Maximum standard deviation of lateral acceleration over 2000 feet (g)</w:t>
            </w: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30</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RTT</w:t>
            </w:r>
          </w:p>
        </w:tc>
        <w:tc>
          <w:tcPr>
            <w:tcW w:w="27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40</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RTT</w:t>
            </w:r>
          </w:p>
        </w:tc>
        <w:tc>
          <w:tcPr>
            <w:tcW w:w="27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50</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RTT</w:t>
            </w:r>
          </w:p>
        </w:tc>
        <w:tc>
          <w:tcPr>
            <w:tcW w:w="27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55</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RTT</w:t>
            </w:r>
          </w:p>
        </w:tc>
        <w:tc>
          <w:tcPr>
            <w:tcW w:w="27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60</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RTT</w:t>
            </w:r>
          </w:p>
        </w:tc>
        <w:tc>
          <w:tcPr>
            <w:tcW w:w="27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65</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RTT</w:t>
            </w:r>
          </w:p>
        </w:tc>
        <w:tc>
          <w:tcPr>
            <w:tcW w:w="27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70</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RTT</w:t>
            </w:r>
          </w:p>
        </w:tc>
        <w:tc>
          <w:tcPr>
            <w:tcW w:w="27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75</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RTT</w:t>
            </w:r>
          </w:p>
        </w:tc>
        <w:tc>
          <w:tcPr>
            <w:tcW w:w="27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30</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TTT</w:t>
            </w:r>
          </w:p>
        </w:tc>
        <w:tc>
          <w:tcPr>
            <w:tcW w:w="27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40</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TTT</w:t>
            </w:r>
          </w:p>
        </w:tc>
        <w:tc>
          <w:tcPr>
            <w:tcW w:w="27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50</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TTT</w:t>
            </w:r>
          </w:p>
        </w:tc>
        <w:tc>
          <w:tcPr>
            <w:tcW w:w="27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55</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TTT</w:t>
            </w:r>
          </w:p>
        </w:tc>
        <w:tc>
          <w:tcPr>
            <w:tcW w:w="27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60</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TTT</w:t>
            </w:r>
          </w:p>
        </w:tc>
        <w:tc>
          <w:tcPr>
            <w:tcW w:w="27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65</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TTT</w:t>
            </w:r>
          </w:p>
        </w:tc>
        <w:tc>
          <w:tcPr>
            <w:tcW w:w="27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70</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TTT</w:t>
            </w:r>
          </w:p>
        </w:tc>
        <w:tc>
          <w:tcPr>
            <w:tcW w:w="27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75</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TTT</w:t>
            </w:r>
          </w:p>
        </w:tc>
        <w:tc>
          <w:tcPr>
            <w:tcW w:w="27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Truck hunting is a common cause of sustained high lateral accelerations in railcars.  If initial hunting tests do not produce maximum standard deviation of lateral acceleration over 2000-feet above about 0.09 TTCI suggests that modifications to the vehicle be made to promote a higher degree of instability.  This will allow a wider range of possible performance to be measured.</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specifications already require using an alternative wheel profile (KR wheel profile) which is intended to help promote hunting.  If the vehicle still does not show any lateral instability, then TTCI may install a primary adapter pads with a softer suspension characteristic in a further effort to promote hunting.  It is anticipated that the car selected for this test program may not be an S-2043 car.  Cars designed to meet S-2043 requirements are likely to be equipped with primary adapter pads.</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If primary suspension pads are used for the test, great care will be taken while performing the test.  Often loaded hunting performance will change from stable to very severe with an increase in speed of only a few mph.  While S-2043 cars may be more prone to moderate instability when loaded than conventional cars, very severe hunting is unlikely.  This is because S-2043 requires onboard safety monitoring systems on the railcars.  As the railcar performance begins to degrade alerts from the monitoring system will trigger railcar maintenance to eliminate the problem.</w:t>
      </w:r>
    </w:p>
    <w:p>
      <w:pPr>
        <w:keepNext w:val="true"/>
        <w:numPr>
          <w:ilvl w:val="0"/>
          <w:numId w:val="619"/>
        </w:numPr>
        <w:tabs>
          <w:tab w:val="left" w:pos="540" w:leader="none"/>
        </w:tabs>
        <w:spacing w:before="36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Twist and Roll</w:t>
      </w:r>
    </w:p>
    <w:p>
      <w:pPr>
        <w:tabs>
          <w:tab w:val="left" w:pos="360" w:leader="none"/>
          <w:tab w:val="left" w:pos="720" w:leader="none"/>
          <w:tab w:val="left" w:pos="1080" w:leader="none"/>
        </w:tabs>
        <w:spacing w:before="0" w:after="240" w:line="264"/>
        <w:ind w:right="0" w:left="0" w:firstLine="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Twist and roll tests will be performed on the PTT between St. 1644 + 10 and St 1651 + 70.  The test requirements are:</w:t>
      </w:r>
    </w:p>
    <w:p>
      <w:pPr>
        <w:numPr>
          <w:ilvl w:val="0"/>
          <w:numId w:val="621"/>
        </w:numPr>
        <w:tabs>
          <w:tab w:val="left" w:pos="360" w:leader="none"/>
          <w:tab w:val="left" w:pos="720" w:leader="none"/>
          <w:tab w:val="left" w:pos="1080" w:leader="none"/>
        </w:tabs>
        <w:spacing w:before="0" w:after="240" w:line="264"/>
        <w:ind w:right="0" w:left="840" w:hanging="36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IWS with AAR1B wheel profiles in lead axle positions on both ends of the car. </w:t>
      </w:r>
    </w:p>
    <w:p>
      <w:pPr>
        <w:numPr>
          <w:ilvl w:val="0"/>
          <w:numId w:val="621"/>
        </w:numPr>
        <w:tabs>
          <w:tab w:val="left" w:pos="360" w:leader="none"/>
          <w:tab w:val="left" w:pos="720" w:leader="none"/>
          <w:tab w:val="left" w:pos="1080" w:leader="none"/>
        </w:tabs>
        <w:spacing w:before="0" w:after="240" w:line="264"/>
        <w:ind w:right="0" w:left="8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Dry rail</w:t>
      </w:r>
    </w:p>
    <w:p>
      <w:pPr>
        <w:numPr>
          <w:ilvl w:val="0"/>
          <w:numId w:val="621"/>
        </w:numPr>
        <w:tabs>
          <w:tab w:val="left" w:pos="360" w:leader="none"/>
          <w:tab w:val="left" w:pos="720" w:leader="none"/>
          <w:tab w:val="left" w:pos="1080" w:leader="none"/>
        </w:tabs>
        <w:spacing w:before="0" w:after="240" w:line="264"/>
        <w:ind w:right="0" w:left="8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Leading stable buffer car (the instrumentation coach)</w:t>
      </w:r>
    </w:p>
    <w:p>
      <w:pPr>
        <w:numPr>
          <w:ilvl w:val="0"/>
          <w:numId w:val="621"/>
        </w:numPr>
        <w:tabs>
          <w:tab w:val="left" w:pos="360" w:leader="none"/>
          <w:tab w:val="left" w:pos="720" w:leader="none"/>
          <w:tab w:val="left" w:pos="1080" w:leader="none"/>
        </w:tabs>
        <w:spacing w:before="0" w:after="240" w:line="264"/>
        <w:ind w:right="0" w:left="8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Trailing stable buffer car (TTX stable buffer car).</w:t>
      </w:r>
    </w:p>
    <w:p>
      <w:pPr>
        <w:tabs>
          <w:tab w:val="left" w:pos="360" w:leader="none"/>
          <w:tab w:val="left" w:pos="720" w:leader="none"/>
          <w:tab w:val="left" w:pos="1080" w:leader="none"/>
        </w:tabs>
        <w:spacing w:before="0" w:after="240" w:line="264"/>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9-11 shows suggested runs for the twist and roll test.  Runs are performed starting at 10 mph and increasing in 2-mph increments until the lower center roll resonance is passed.  Once lower center roll resonance is passed speeds are increased in 5 mph increments until 70 mph is reached.  If performance is close to the limits smaller speed increments should be used to assure safety and closely identify the critical speed.</w:t>
      </w:r>
    </w:p>
    <w:p>
      <w:pPr>
        <w:keepNext w:val="true"/>
        <w:keepLines w:val="true"/>
        <w:tabs>
          <w:tab w:val="left" w:pos="360" w:leader="none"/>
          <w:tab w:val="left" w:pos="720" w:leader="none"/>
          <w:tab w:val="left" w:pos="1080" w:leader="none"/>
        </w:tabs>
        <w:spacing w:before="240" w:after="12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Table . Twist and roll test runs.</w:t>
      </w:r>
    </w:p>
    <w:tbl>
      <w:tblPr/>
      <w:tblGrid>
        <w:gridCol w:w="1083"/>
        <w:gridCol w:w="817"/>
        <w:gridCol w:w="2073"/>
        <w:gridCol w:w="2920"/>
        <w:gridCol w:w="2467"/>
      </w:tblGrid>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Filename</w:t>
            </w: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Speed</w:t>
            </w:r>
          </w:p>
        </w:tc>
        <w:tc>
          <w:tcPr>
            <w:tcW w:w="20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Maximum Axle Sum L/V Ratio</w:t>
            </w:r>
          </w:p>
        </w:tc>
        <w:tc>
          <w:tcPr>
            <w:tcW w:w="29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Minimum Vertical Wheel Load (percent of static)</w:t>
            </w: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Dynamic Augment Acceleration (g)</w:t>
            </w: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10</w:t>
            </w:r>
          </w:p>
        </w:tc>
        <w:tc>
          <w:tcPr>
            <w:tcW w:w="20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9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12</w:t>
            </w:r>
          </w:p>
        </w:tc>
        <w:tc>
          <w:tcPr>
            <w:tcW w:w="20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9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14</w:t>
            </w:r>
          </w:p>
        </w:tc>
        <w:tc>
          <w:tcPr>
            <w:tcW w:w="20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9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16</w:t>
            </w:r>
          </w:p>
        </w:tc>
        <w:tc>
          <w:tcPr>
            <w:tcW w:w="20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9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18</w:t>
            </w:r>
          </w:p>
        </w:tc>
        <w:tc>
          <w:tcPr>
            <w:tcW w:w="20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9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20</w:t>
            </w:r>
          </w:p>
        </w:tc>
        <w:tc>
          <w:tcPr>
            <w:tcW w:w="20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9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22</w:t>
            </w:r>
          </w:p>
        </w:tc>
        <w:tc>
          <w:tcPr>
            <w:tcW w:w="20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9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24</w:t>
            </w:r>
          </w:p>
        </w:tc>
        <w:tc>
          <w:tcPr>
            <w:tcW w:w="20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9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26</w:t>
            </w:r>
          </w:p>
        </w:tc>
        <w:tc>
          <w:tcPr>
            <w:tcW w:w="20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9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30</w:t>
            </w:r>
          </w:p>
        </w:tc>
        <w:tc>
          <w:tcPr>
            <w:tcW w:w="20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9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35</w:t>
            </w:r>
          </w:p>
        </w:tc>
        <w:tc>
          <w:tcPr>
            <w:tcW w:w="20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9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40</w:t>
            </w:r>
          </w:p>
        </w:tc>
        <w:tc>
          <w:tcPr>
            <w:tcW w:w="20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9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45</w:t>
            </w:r>
          </w:p>
        </w:tc>
        <w:tc>
          <w:tcPr>
            <w:tcW w:w="20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9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50</w:t>
            </w:r>
          </w:p>
        </w:tc>
        <w:tc>
          <w:tcPr>
            <w:tcW w:w="20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9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55</w:t>
            </w:r>
          </w:p>
        </w:tc>
        <w:tc>
          <w:tcPr>
            <w:tcW w:w="20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9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60</w:t>
            </w:r>
          </w:p>
        </w:tc>
        <w:tc>
          <w:tcPr>
            <w:tcW w:w="20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9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65</w:t>
            </w:r>
          </w:p>
        </w:tc>
        <w:tc>
          <w:tcPr>
            <w:tcW w:w="20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9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70</w:t>
            </w:r>
          </w:p>
        </w:tc>
        <w:tc>
          <w:tcPr>
            <w:tcW w:w="20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9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bl>
    <w:p>
      <w:pPr>
        <w:tabs>
          <w:tab w:val="left" w:pos="360" w:leader="none"/>
          <w:tab w:val="left" w:pos="720" w:leader="none"/>
          <w:tab w:val="left" w:pos="1080" w:leader="none"/>
        </w:tabs>
        <w:spacing w:before="0" w:after="240" w:line="264"/>
        <w:ind w:right="0" w:left="0" w:firstLine="0"/>
        <w:jc w:val="left"/>
        <w:rPr>
          <w:rFonts w:ascii="Times" w:hAnsi="Times" w:cs="Times" w:eastAsia="Times"/>
          <w:color w:val="auto"/>
          <w:spacing w:val="0"/>
          <w:position w:val="0"/>
          <w:sz w:val="24"/>
          <w:shd w:fill="auto" w:val="clear"/>
        </w:rPr>
      </w:pPr>
    </w:p>
    <w:p>
      <w:pPr>
        <w:keepNext w:val="true"/>
        <w:numPr>
          <w:ilvl w:val="0"/>
          <w:numId w:val="683"/>
        </w:numPr>
        <w:tabs>
          <w:tab w:val="left" w:pos="540" w:leader="none"/>
        </w:tabs>
        <w:spacing w:before="36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Pitch and Bounce</w:t>
      </w:r>
    </w:p>
    <w:p>
      <w:pPr>
        <w:tabs>
          <w:tab w:val="left" w:pos="360" w:leader="none"/>
          <w:tab w:val="left" w:pos="720" w:leader="none"/>
          <w:tab w:val="left" w:pos="1080" w:leader="none"/>
        </w:tabs>
        <w:spacing w:before="0" w:after="240" w:line="264"/>
        <w:ind w:right="0" w:left="0" w:firstLine="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Pitch and bounce tests will be performed on the PTT between St. 1710 and St 1715.  The test requirements are:</w:t>
      </w:r>
    </w:p>
    <w:p>
      <w:pPr>
        <w:numPr>
          <w:ilvl w:val="0"/>
          <w:numId w:val="685"/>
        </w:numPr>
        <w:tabs>
          <w:tab w:val="left" w:pos="360" w:leader="none"/>
          <w:tab w:val="left" w:pos="720" w:leader="none"/>
          <w:tab w:val="left" w:pos="1080" w:leader="none"/>
        </w:tabs>
        <w:spacing w:before="0" w:after="240" w:line="264"/>
        <w:ind w:right="0" w:left="8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IWS with AAR1B wheel profiles in lead axle positions on both ends of the car. </w:t>
      </w:r>
    </w:p>
    <w:p>
      <w:pPr>
        <w:numPr>
          <w:ilvl w:val="0"/>
          <w:numId w:val="685"/>
        </w:numPr>
        <w:tabs>
          <w:tab w:val="left" w:pos="360" w:leader="none"/>
          <w:tab w:val="left" w:pos="720" w:leader="none"/>
          <w:tab w:val="left" w:pos="1080" w:leader="none"/>
        </w:tabs>
        <w:spacing w:before="0" w:after="240" w:line="264"/>
        <w:ind w:right="0" w:left="8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Dry rail</w:t>
      </w:r>
    </w:p>
    <w:p>
      <w:pPr>
        <w:numPr>
          <w:ilvl w:val="0"/>
          <w:numId w:val="685"/>
        </w:numPr>
        <w:tabs>
          <w:tab w:val="left" w:pos="360" w:leader="none"/>
          <w:tab w:val="left" w:pos="720" w:leader="none"/>
          <w:tab w:val="left" w:pos="1080" w:leader="none"/>
        </w:tabs>
        <w:spacing w:before="0" w:after="240" w:line="264"/>
        <w:ind w:right="0" w:left="8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Leading stable buffer car (the instrumentation coach)</w:t>
      </w:r>
    </w:p>
    <w:p>
      <w:pPr>
        <w:numPr>
          <w:ilvl w:val="0"/>
          <w:numId w:val="685"/>
        </w:numPr>
        <w:tabs>
          <w:tab w:val="left" w:pos="360" w:leader="none"/>
          <w:tab w:val="left" w:pos="720" w:leader="none"/>
          <w:tab w:val="left" w:pos="1080" w:leader="none"/>
        </w:tabs>
        <w:spacing w:before="0" w:after="240" w:line="264"/>
        <w:ind w:right="0" w:left="8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Trailing stable buffer car (TTX stable buffer car).</w:t>
      </w:r>
    </w:p>
    <w:p>
      <w:pPr>
        <w:tabs>
          <w:tab w:val="left" w:pos="360" w:leader="none"/>
          <w:tab w:val="left" w:pos="720" w:leader="none"/>
          <w:tab w:val="left" w:pos="1080" w:leader="none"/>
        </w:tabs>
        <w:spacing w:before="0" w:after="240" w:line="264"/>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9-12 shows suggested runs for the pitch and bounce test.  Runs are performed starting at 30 mph and increasing in 5 mph increments until 70 mph is reached.  If performance is close to the limits smaller speed increments should be used to assure safety and closely identify the critical speed.  </w:t>
      </w:r>
    </w:p>
    <w:p>
      <w:pPr>
        <w:keepNext w:val="true"/>
        <w:keepLines w:val="true"/>
        <w:tabs>
          <w:tab w:val="left" w:pos="360" w:leader="none"/>
          <w:tab w:val="left" w:pos="720" w:leader="none"/>
          <w:tab w:val="left" w:pos="1080" w:leader="none"/>
        </w:tabs>
        <w:spacing w:before="240" w:after="12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Table . Pitch and bounce test runs.</w:t>
      </w:r>
    </w:p>
    <w:tbl>
      <w:tblPr/>
      <w:tblGrid>
        <w:gridCol w:w="1083"/>
        <w:gridCol w:w="817"/>
        <w:gridCol w:w="4236"/>
        <w:gridCol w:w="3224"/>
      </w:tblGrid>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Filename</w:t>
            </w: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Speed</w:t>
            </w:r>
          </w:p>
        </w:tc>
        <w:tc>
          <w:tcPr>
            <w:tcW w:w="4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Minimum Vertical Wheel Load (percent of static)</w:t>
            </w:r>
          </w:p>
        </w:tc>
        <w:tc>
          <w:tcPr>
            <w:tcW w:w="3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Dynamic Augment Acceleration (g)</w:t>
            </w: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30</w:t>
            </w:r>
          </w:p>
        </w:tc>
        <w:tc>
          <w:tcPr>
            <w:tcW w:w="4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3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35</w:t>
            </w:r>
          </w:p>
        </w:tc>
        <w:tc>
          <w:tcPr>
            <w:tcW w:w="4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3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40</w:t>
            </w:r>
          </w:p>
        </w:tc>
        <w:tc>
          <w:tcPr>
            <w:tcW w:w="4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3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45</w:t>
            </w:r>
          </w:p>
        </w:tc>
        <w:tc>
          <w:tcPr>
            <w:tcW w:w="4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3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50</w:t>
            </w:r>
          </w:p>
        </w:tc>
        <w:tc>
          <w:tcPr>
            <w:tcW w:w="4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3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55</w:t>
            </w:r>
          </w:p>
        </w:tc>
        <w:tc>
          <w:tcPr>
            <w:tcW w:w="4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3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60</w:t>
            </w:r>
          </w:p>
        </w:tc>
        <w:tc>
          <w:tcPr>
            <w:tcW w:w="4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3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65</w:t>
            </w:r>
          </w:p>
        </w:tc>
        <w:tc>
          <w:tcPr>
            <w:tcW w:w="4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3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70</w:t>
            </w:r>
          </w:p>
        </w:tc>
        <w:tc>
          <w:tcPr>
            <w:tcW w:w="4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3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bl>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numPr>
          <w:ilvl w:val="0"/>
          <w:numId w:val="720"/>
        </w:numPr>
        <w:tabs>
          <w:tab w:val="left" w:pos="540" w:leader="none"/>
        </w:tabs>
        <w:spacing w:before="36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Single Bump Test</w:t>
      </w:r>
    </w:p>
    <w:p>
      <w:pPr>
        <w:tabs>
          <w:tab w:val="left" w:pos="360" w:leader="none"/>
          <w:tab w:val="left" w:pos="720" w:leader="none"/>
          <w:tab w:val="left" w:pos="1080" w:leader="none"/>
        </w:tabs>
        <w:spacing w:before="0" w:after="240" w:line="264"/>
        <w:ind w:right="0" w:left="0" w:firstLine="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This test is intended to represent a grade crossing.  Railroad industry experience is that vertical dynamic response at grade crossings is a significant source of large vertical accelerations and shock and vibration in freight cars.  The test zone consists of a one-inch bump on tangent track.    This test zone will likely be installed on the TTT loop in a section designed for special perturbations.  The test requirements are:</w:t>
      </w:r>
    </w:p>
    <w:p>
      <w:pPr>
        <w:numPr>
          <w:ilvl w:val="0"/>
          <w:numId w:val="722"/>
        </w:numPr>
        <w:tabs>
          <w:tab w:val="left" w:pos="360" w:leader="none"/>
          <w:tab w:val="left" w:pos="720" w:leader="none"/>
          <w:tab w:val="left" w:pos="1080" w:leader="none"/>
        </w:tabs>
        <w:spacing w:before="0" w:after="240" w:line="264"/>
        <w:ind w:right="0" w:left="8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bump is a flat topped ramp that rises up to one inch over 7 feet, has a steady elevation over 20 feet, and drops back down over 7 feet.</w:t>
      </w:r>
    </w:p>
    <w:p>
      <w:pPr>
        <w:numPr>
          <w:ilvl w:val="0"/>
          <w:numId w:val="722"/>
        </w:numPr>
        <w:tabs>
          <w:tab w:val="left" w:pos="360" w:leader="none"/>
          <w:tab w:val="left" w:pos="720" w:leader="none"/>
          <w:tab w:val="left" w:pos="1080" w:leader="none"/>
        </w:tabs>
        <w:spacing w:before="0" w:after="240" w:line="264"/>
        <w:ind w:right="0" w:left="8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IWS with AAR1B wheel profiles in lead axle positions on both ends of the car. </w:t>
      </w:r>
    </w:p>
    <w:p>
      <w:pPr>
        <w:numPr>
          <w:ilvl w:val="0"/>
          <w:numId w:val="722"/>
        </w:numPr>
        <w:tabs>
          <w:tab w:val="left" w:pos="360" w:leader="none"/>
          <w:tab w:val="left" w:pos="720" w:leader="none"/>
          <w:tab w:val="left" w:pos="1080" w:leader="none"/>
        </w:tabs>
        <w:spacing w:before="0" w:after="240" w:line="264"/>
        <w:ind w:right="0" w:left="8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Dry rail</w:t>
      </w:r>
    </w:p>
    <w:p>
      <w:pPr>
        <w:numPr>
          <w:ilvl w:val="0"/>
          <w:numId w:val="722"/>
        </w:numPr>
        <w:tabs>
          <w:tab w:val="left" w:pos="360" w:leader="none"/>
          <w:tab w:val="left" w:pos="720" w:leader="none"/>
          <w:tab w:val="left" w:pos="1080" w:leader="none"/>
        </w:tabs>
        <w:spacing w:before="0" w:after="240" w:line="264"/>
        <w:ind w:right="0" w:left="8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Leading stable buffer car (the instrumentation coach)</w:t>
      </w:r>
    </w:p>
    <w:p>
      <w:pPr>
        <w:numPr>
          <w:ilvl w:val="0"/>
          <w:numId w:val="722"/>
        </w:numPr>
        <w:tabs>
          <w:tab w:val="left" w:pos="360" w:leader="none"/>
          <w:tab w:val="left" w:pos="720" w:leader="none"/>
          <w:tab w:val="left" w:pos="1080" w:leader="none"/>
        </w:tabs>
        <w:spacing w:before="0" w:after="240" w:line="264"/>
        <w:ind w:right="0" w:left="8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trailing buffer car</w:t>
      </w:r>
    </w:p>
    <w:p>
      <w:pPr>
        <w:tabs>
          <w:tab w:val="left" w:pos="360" w:leader="none"/>
          <w:tab w:val="left" w:pos="720" w:leader="none"/>
          <w:tab w:val="left" w:pos="1080" w:leader="none"/>
        </w:tabs>
        <w:spacing w:before="0" w:after="240" w:line="264"/>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9-13 shows suggested runs for the single bump test.  Runs are performed starting at 40 mph and increasing in 5 mph increments until 75 mph is reached.  If performance is close to the limits smaller speed increments should be used to assure safety and closely identify the critical speed.  </w:t>
      </w:r>
    </w:p>
    <w:p>
      <w:pPr>
        <w:keepNext w:val="true"/>
        <w:keepLines w:val="true"/>
        <w:tabs>
          <w:tab w:val="left" w:pos="360" w:leader="none"/>
          <w:tab w:val="left" w:pos="720" w:leader="none"/>
          <w:tab w:val="left" w:pos="1080" w:leader="none"/>
        </w:tabs>
        <w:spacing w:before="240" w:after="12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Table . Single bump test runs.</w:t>
      </w:r>
    </w:p>
    <w:tbl>
      <w:tblPr/>
      <w:tblGrid>
        <w:gridCol w:w="1083"/>
        <w:gridCol w:w="817"/>
        <w:gridCol w:w="4236"/>
        <w:gridCol w:w="3224"/>
      </w:tblGrid>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Filename</w:t>
            </w: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Speed</w:t>
            </w:r>
          </w:p>
        </w:tc>
        <w:tc>
          <w:tcPr>
            <w:tcW w:w="4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Minimum Vertical Wheel Load (percent of static)</w:t>
            </w:r>
          </w:p>
        </w:tc>
        <w:tc>
          <w:tcPr>
            <w:tcW w:w="3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Dynamic Augment Acceleration (g)</w:t>
            </w: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40</w:t>
            </w:r>
          </w:p>
        </w:tc>
        <w:tc>
          <w:tcPr>
            <w:tcW w:w="4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3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45</w:t>
            </w:r>
          </w:p>
        </w:tc>
        <w:tc>
          <w:tcPr>
            <w:tcW w:w="4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3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50</w:t>
            </w:r>
          </w:p>
        </w:tc>
        <w:tc>
          <w:tcPr>
            <w:tcW w:w="4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3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55</w:t>
            </w:r>
          </w:p>
        </w:tc>
        <w:tc>
          <w:tcPr>
            <w:tcW w:w="4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3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60</w:t>
            </w:r>
          </w:p>
        </w:tc>
        <w:tc>
          <w:tcPr>
            <w:tcW w:w="4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3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65</w:t>
            </w:r>
          </w:p>
        </w:tc>
        <w:tc>
          <w:tcPr>
            <w:tcW w:w="4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3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70</w:t>
            </w:r>
          </w:p>
        </w:tc>
        <w:tc>
          <w:tcPr>
            <w:tcW w:w="4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3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75</w:t>
            </w:r>
          </w:p>
        </w:tc>
        <w:tc>
          <w:tcPr>
            <w:tcW w:w="4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3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bl>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numPr>
          <w:ilvl w:val="0"/>
          <w:numId w:val="754"/>
        </w:numPr>
        <w:tabs>
          <w:tab w:val="left" w:pos="540" w:leader="none"/>
        </w:tabs>
        <w:spacing w:before="36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Dynamic Curving</w:t>
      </w:r>
    </w:p>
    <w:p>
      <w:pPr>
        <w:tabs>
          <w:tab w:val="left" w:pos="360" w:leader="none"/>
          <w:tab w:val="left" w:pos="720" w:leader="none"/>
          <w:tab w:val="left" w:pos="1080" w:leader="none"/>
        </w:tabs>
        <w:spacing w:before="0" w:after="240" w:line="264"/>
        <w:ind w:right="0" w:left="0" w:firstLine="0"/>
        <w:jc w:val="left"/>
        <w:rPr>
          <w:rFonts w:ascii="Times" w:hAnsi="Times" w:cs="Times" w:eastAsia="Times"/>
          <w:color w:val="auto"/>
          <w:spacing w:val="0"/>
          <w:position w:val="0"/>
          <w:sz w:val="24"/>
          <w:shd w:fill="auto" w:val="clear"/>
        </w:rPr>
      </w:pPr>
      <w:r>
        <w:rPr>
          <w:rFonts w:ascii="Times" w:hAnsi="Times" w:cs="Times" w:eastAsia="Times"/>
          <w:color w:val="auto"/>
          <w:spacing w:val="0"/>
          <w:position w:val="0"/>
          <w:sz w:val="24"/>
          <w:shd w:fill="auto" w:val="clear"/>
        </w:rPr>
        <w:t xml:space="preserve">Dynamic curving tests will be performed on the dynamic curve test zone in the body of the 10-degree bypass on the WRM track.  The test requirements are:</w:t>
      </w:r>
    </w:p>
    <w:p>
      <w:pPr>
        <w:numPr>
          <w:ilvl w:val="0"/>
          <w:numId w:val="756"/>
        </w:numPr>
        <w:tabs>
          <w:tab w:val="left" w:pos="360" w:leader="none"/>
          <w:tab w:val="left" w:pos="720" w:leader="none"/>
          <w:tab w:val="left" w:pos="1080" w:leader="none"/>
        </w:tabs>
        <w:spacing w:before="0" w:after="240" w:line="264"/>
        <w:ind w:right="0" w:left="8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IWS with AAR1B wheel profiles in lead axle positions on both ends of the car. </w:t>
      </w:r>
    </w:p>
    <w:p>
      <w:pPr>
        <w:numPr>
          <w:ilvl w:val="0"/>
          <w:numId w:val="756"/>
        </w:numPr>
        <w:tabs>
          <w:tab w:val="left" w:pos="360" w:leader="none"/>
          <w:tab w:val="left" w:pos="720" w:leader="none"/>
          <w:tab w:val="left" w:pos="1080" w:leader="none"/>
        </w:tabs>
        <w:spacing w:before="0" w:after="240" w:line="264"/>
        <w:ind w:right="0" w:left="8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Measure and document rail friction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0.4</w:t>
      </w:r>
    </w:p>
    <w:p>
      <w:pPr>
        <w:numPr>
          <w:ilvl w:val="0"/>
          <w:numId w:val="756"/>
        </w:numPr>
        <w:tabs>
          <w:tab w:val="left" w:pos="360" w:leader="none"/>
          <w:tab w:val="left" w:pos="720" w:leader="none"/>
          <w:tab w:val="left" w:pos="1080" w:leader="none"/>
        </w:tabs>
        <w:spacing w:before="0" w:after="240" w:line="264"/>
        <w:ind w:right="0" w:left="8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Leading stable buffer car (the instrumentation coach)</w:t>
      </w:r>
    </w:p>
    <w:p>
      <w:pPr>
        <w:numPr>
          <w:ilvl w:val="0"/>
          <w:numId w:val="756"/>
        </w:numPr>
        <w:tabs>
          <w:tab w:val="left" w:pos="360" w:leader="none"/>
          <w:tab w:val="left" w:pos="720" w:leader="none"/>
          <w:tab w:val="left" w:pos="1080" w:leader="none"/>
        </w:tabs>
        <w:spacing w:before="0" w:after="240" w:line="264"/>
        <w:ind w:right="0" w:left="84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Trailing stable buffer car (WRM Buffer)</w:t>
      </w:r>
    </w:p>
    <w:p>
      <w:pPr>
        <w:tabs>
          <w:tab w:val="left" w:pos="360" w:leader="none"/>
          <w:tab w:val="left" w:pos="720" w:leader="none"/>
          <w:tab w:val="left" w:pos="1080" w:leader="none"/>
        </w:tabs>
        <w:spacing w:before="0" w:after="240" w:line="264"/>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9-14 shows suggested runs for the dynamic curving test.  Tests are done CW and CCW and will be performed from 10 mph to 32 mph in 2 mph increments.</w:t>
      </w:r>
    </w:p>
    <w:p>
      <w:pPr>
        <w:keepNext w:val="true"/>
        <w:keepLines w:val="true"/>
        <w:tabs>
          <w:tab w:val="left" w:pos="360" w:leader="none"/>
          <w:tab w:val="left" w:pos="720" w:leader="none"/>
          <w:tab w:val="left" w:pos="1080" w:leader="none"/>
        </w:tabs>
        <w:spacing w:before="240" w:after="12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Table . Loaded dynamic curving test runs.</w:t>
      </w:r>
    </w:p>
    <w:tbl>
      <w:tblPr/>
      <w:tblGrid>
        <w:gridCol w:w="1083"/>
        <w:gridCol w:w="817"/>
        <w:gridCol w:w="1083"/>
        <w:gridCol w:w="1863"/>
        <w:gridCol w:w="2012"/>
        <w:gridCol w:w="2502"/>
      </w:tblGrid>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Filename</w:t>
            </w: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Speed</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Direction</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Maximum Wheel L/V Ratio</w:t>
            </w: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Maximum Axle Sum L/V Ratio</w:t>
            </w: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Minimum Vertical Load (percent of static)</w:t>
            </w: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10</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12</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14</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16</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18</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20</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22</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24</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26</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28</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30</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32</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10</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12</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14</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16</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18</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20</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22</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24</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26</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28</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30</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60" w:hRule="auto"/>
          <w:jc w:val="center"/>
        </w:trPr>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32</w:t>
            </w:r>
          </w:p>
        </w:tc>
        <w:tc>
          <w:tcPr>
            <w:tcW w:w="1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CCW</w:t>
            </w:r>
          </w:p>
        </w:tc>
        <w:tc>
          <w:tcPr>
            <w:tcW w:w="1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0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5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bl>
    <w:p>
      <w:pPr>
        <w:keepNext w:val="true"/>
        <w:numPr>
          <w:ilvl w:val="0"/>
          <w:numId w:val="835"/>
        </w:numPr>
        <w:tabs>
          <w:tab w:val="left" w:pos="540" w:leader="none"/>
        </w:tabs>
        <w:spacing w:before="360" w:after="0" w:line="240"/>
        <w:ind w:right="0" w:left="1037" w:hanging="1037"/>
        <w:jc w:val="left"/>
        <w:rPr>
          <w:rFonts w:ascii="Arial" w:hAnsi="Arial" w:cs="Arial" w:eastAsia="Arial"/>
          <w:b/>
          <w:color w:val="auto"/>
          <w:spacing w:val="0"/>
          <w:position w:val="0"/>
          <w:sz w:val="22"/>
          <w:shd w:fill="auto" w:val="clear"/>
        </w:rPr>
      </w:pPr>
    </w:p>
    <w:p>
      <w:pPr>
        <w:keepNext w:val="true"/>
        <w:numPr>
          <w:ilvl w:val="0"/>
          <w:numId w:val="835"/>
        </w:numPr>
        <w:tabs>
          <w:tab w:val="left" w:pos="540" w:leader="none"/>
        </w:tabs>
        <w:spacing w:before="36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Pueblo Chemical Depot Matrix</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TTCI will test on tracks at the Pueblo Chemical Depot (PCD). Note that these tests shall be performed on dry track. The PCD is located just south of TTC and contains several miles of railroad track maintained to FRA Class 2.  It is about 7 miles from the border of TTC property to the west leg of the wye at Avondale.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Section 6.3.1.1 of S-2043 requires that the train be operated over number 10 or sharper turnouts and through a number 10 or sharper crossover on 15 feet or narrower track centers.  The turnouts at the PCD class yard will be used to fulfill these requirements.  All of the turnouts in the class yard are number 8.  There is a crossover between class yard tracks 1 and 2 that uses number 8 turnouts on 14 feet 2 inch track centers.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TTCI operating rules allow speeds up to 20mph at the PCD.  Speeds through the diverging route of number 8 turnouts and will be limited to 19 mph to maintain less than 3-inches unbalance in the closure curve.  Speeds in the 12-degree curve will be limited to 19 mph to maintain less than 3-inches unbalance.</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Table 9-15 shows a list of runs planned at the PCD.  Note that S-2043 would require runs where the test vehicle was being both pulled and pushed through the test zone(s). However, because this program will only have IWS in lead axle positions, pushing runs will not be conducted.  Reverse moves through the test zones will be made at no more than 10 mph.</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keepLines w:val="true"/>
        <w:tabs>
          <w:tab w:val="left" w:pos="360" w:leader="none"/>
          <w:tab w:val="left" w:pos="720" w:leader="none"/>
          <w:tab w:val="left" w:pos="1080" w:leader="none"/>
        </w:tabs>
        <w:spacing w:before="240" w:after="12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Table . List of runs at PCD</w:t>
      </w:r>
    </w:p>
    <w:tbl>
      <w:tblPr/>
      <w:tblGrid>
        <w:gridCol w:w="3708"/>
        <w:gridCol w:w="990"/>
        <w:gridCol w:w="1620"/>
        <w:gridCol w:w="1620"/>
        <w:gridCol w:w="1980"/>
      </w:tblGrid>
      <w:tr>
        <w:trPr>
          <w:trHeight w:val="1" w:hRule="atLeast"/>
          <w:jc w:val="left"/>
        </w:trPr>
        <w:tc>
          <w:tcPr>
            <w:tcW w:w="37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18"/>
                <w:shd w:fill="auto" w:val="clear"/>
              </w:rPr>
              <w:t xml:space="preserve">Description</w:t>
            </w:r>
          </w:p>
        </w:tc>
        <w:tc>
          <w:tcPr>
            <w:tcW w:w="9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18"/>
                <w:shd w:fill="auto" w:val="clear"/>
              </w:rPr>
              <w:t xml:space="preserve">Speed</w:t>
            </w: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18"/>
                <w:shd w:fill="auto" w:val="clear"/>
              </w:rPr>
              <w:t xml:space="preserve">Maximum Wheel L/V Ratio</w:t>
            </w: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18"/>
                <w:shd w:fill="auto" w:val="clear"/>
              </w:rPr>
              <w:t xml:space="preserve">Maximum Axle Sum L/V Ratio</w:t>
            </w:r>
          </w:p>
        </w:tc>
        <w:tc>
          <w:tcPr>
            <w:tcW w:w="19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18"/>
                <w:shd w:fill="auto" w:val="clear"/>
              </w:rPr>
              <w:t xml:space="preserve">Minimum Vertical Load (percent of static)</w:t>
            </w:r>
          </w:p>
        </w:tc>
      </w:tr>
      <w:tr>
        <w:trPr>
          <w:trHeight w:val="1" w:hRule="atLeast"/>
          <w:jc w:val="left"/>
        </w:trPr>
        <w:tc>
          <w:tcPr>
            <w:tcW w:w="37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North gate PCD to South Gate PCD*</w:t>
            </w:r>
          </w:p>
        </w:tc>
        <w:tc>
          <w:tcPr>
            <w:tcW w:w="9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20mph</w:t>
            </w: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9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7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Slow speed runs on class yard track 1 and 2 including turnout and crossover to allow visual inspection for binding and interference</w:t>
            </w:r>
          </w:p>
        </w:tc>
        <w:tc>
          <w:tcPr>
            <w:tcW w:w="9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Walking Speed</w:t>
            </w: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9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7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West-East Class Yard Track 1 Including turnout at beginning</w:t>
            </w:r>
          </w:p>
        </w:tc>
        <w:tc>
          <w:tcPr>
            <w:tcW w:w="9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20mph</w:t>
            </w: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9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7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West-East Class Yard Track 2 Including turnout at beginning</w:t>
            </w:r>
          </w:p>
        </w:tc>
        <w:tc>
          <w:tcPr>
            <w:tcW w:w="9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20mph</w:t>
            </w: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9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7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Crossover, West-East, Class Yard Track 2 to 1</w:t>
            </w:r>
          </w:p>
        </w:tc>
        <w:tc>
          <w:tcPr>
            <w:tcW w:w="9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5</w:t>
            </w: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9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7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Crossover, West-East, Class Yard Track 2 to 1</w:t>
            </w:r>
          </w:p>
        </w:tc>
        <w:tc>
          <w:tcPr>
            <w:tcW w:w="9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10</w:t>
            </w: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9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7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Crossover, West-East, Class Yard Track 2 to 1</w:t>
            </w:r>
          </w:p>
        </w:tc>
        <w:tc>
          <w:tcPr>
            <w:tcW w:w="9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15</w:t>
            </w: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9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7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Crossover, West-East, Class Yard Track 2 to 1</w:t>
            </w:r>
          </w:p>
        </w:tc>
        <w:tc>
          <w:tcPr>
            <w:tcW w:w="9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19</w:t>
            </w: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9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7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Turn on Wye</w:t>
            </w:r>
          </w:p>
        </w:tc>
        <w:tc>
          <w:tcPr>
            <w:tcW w:w="9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9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7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South gate PCD to North Gate PCD</w:t>
            </w:r>
          </w:p>
        </w:tc>
        <w:tc>
          <w:tcPr>
            <w:tcW w:w="9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20mph</w:t>
            </w: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9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7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Slow speed runs on class yard track 1 and 2 including turnout and crossover to allow visual inspection for binding and interference</w:t>
            </w:r>
          </w:p>
        </w:tc>
        <w:tc>
          <w:tcPr>
            <w:tcW w:w="9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Walking Speed</w:t>
            </w: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9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7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East-West Class Yard Track 1 Including turnout at end</w:t>
            </w:r>
          </w:p>
        </w:tc>
        <w:tc>
          <w:tcPr>
            <w:tcW w:w="9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20mph</w:t>
            </w: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9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7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East-West Class Yard Track 2 Including turnout at end</w:t>
            </w:r>
          </w:p>
        </w:tc>
        <w:tc>
          <w:tcPr>
            <w:tcW w:w="9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20mph</w:t>
            </w: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9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7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Crossover, East-West, Class Yard Track 1 to 2</w:t>
            </w:r>
          </w:p>
        </w:tc>
        <w:tc>
          <w:tcPr>
            <w:tcW w:w="9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5</w:t>
            </w: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9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7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Crossover, East-West, Class Yard Track 1 to 2</w:t>
            </w:r>
          </w:p>
        </w:tc>
        <w:tc>
          <w:tcPr>
            <w:tcW w:w="9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10</w:t>
            </w: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9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7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Crossover, East-West, Class Yard Track 1 to 2</w:t>
            </w:r>
          </w:p>
        </w:tc>
        <w:tc>
          <w:tcPr>
            <w:tcW w:w="9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15</w:t>
            </w: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9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7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Crossover, East-West, Class Yard Track 1 to 2</w:t>
            </w:r>
          </w:p>
        </w:tc>
        <w:tc>
          <w:tcPr>
            <w:tcW w:w="99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19</w:t>
            </w: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62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9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numPr>
          <w:ilvl w:val="0"/>
          <w:numId w:val="879"/>
        </w:numPr>
        <w:tabs>
          <w:tab w:val="left" w:pos="540" w:leader="none"/>
        </w:tabs>
        <w:spacing w:before="36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Coupling Impact Test Matrix</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Coupling impact tests will be performed on the PTT track north of the pitch and bounce test zone.  The test car will be pulled up the 0.86% grade an appropriate distance and then released and allowed to roll freely into a standing sting of anvil cars.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test will use three loaded cars as an anvil string.  The last car of the anvil string will use a tightly set handbrake, but no other brakes will be set.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Impact speeds of 2, 4, 6, and 8-mph will be tested.  TTCI will measure the coupler load and impact speed.  If coupler loads reach the maximum design coupler force test speeds will not be increased.  If coupler loads approach the maximum design coupler force the speed increments will be reduced from 2mph to 1mph or less.</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maximum coupler force will depend on the car selected as the cask car.  The maximum design coupler force is defined in the Association of American Railroads (AAR) </w:t>
      </w:r>
      <w:r>
        <w:rPr>
          <w:rFonts w:ascii="Times New Roman" w:hAnsi="Times New Roman" w:cs="Times New Roman" w:eastAsia="Times New Roman"/>
          <w:i/>
          <w:color w:val="auto"/>
          <w:spacing w:val="0"/>
          <w:position w:val="0"/>
          <w:sz w:val="22"/>
          <w:shd w:fill="auto" w:val="clear"/>
        </w:rPr>
        <w:t xml:space="preserve">Manual of Standards and Recommended Practices</w:t>
      </w:r>
      <w:r>
        <w:rPr>
          <w:rFonts w:ascii="Times New Roman" w:hAnsi="Times New Roman" w:cs="Times New Roman" w:eastAsia="Times New Roman"/>
          <w:color w:val="auto"/>
          <w:spacing w:val="0"/>
          <w:position w:val="0"/>
          <w:sz w:val="22"/>
          <w:shd w:fill="auto" w:val="clear"/>
        </w:rPr>
        <w:t xml:space="preserve"> (MSRP) Section C-Part II, Chapter 4, paragraph 4.1.10 </w:t>
      </w:r>
      <w:r>
        <w:rPr>
          <w:rFonts w:ascii="Times New Roman" w:hAnsi="Times New Roman" w:cs="Times New Roman" w:eastAsia="Times New Roman"/>
          <w:i/>
          <w:color w:val="auto"/>
          <w:spacing w:val="0"/>
          <w:position w:val="0"/>
          <w:sz w:val="22"/>
          <w:shd w:fill="auto" w:val="clear"/>
        </w:rPr>
        <w:t xml:space="preserve">Impact Load</w:t>
      </w:r>
      <w:r>
        <w:rPr>
          <w:rFonts w:ascii="Times New Roman" w:hAnsi="Times New Roman" w:cs="Times New Roman" w:eastAsia="Times New Roman"/>
          <w:color w:val="auto"/>
          <w:spacing w:val="0"/>
          <w:position w:val="0"/>
          <w:sz w:val="22"/>
          <w:shd w:fill="auto" w:val="clear"/>
        </w:rPr>
        <w:t xml:space="preserve">.</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TTCI will provide an HD camcorder to record the impacts from wayside.  The test car will be inspected between test runs to verify no damage has occurred to the car or the cask.</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When tests of one end of the car are finished the car will be turned and the test repeated.  Table 9-16 shows the coupling impact test matrix.</w:t>
      </w:r>
    </w:p>
    <w:p>
      <w:pPr>
        <w:keepNext w:val="true"/>
        <w:keepLines w:val="true"/>
        <w:tabs>
          <w:tab w:val="left" w:pos="360" w:leader="none"/>
          <w:tab w:val="left" w:pos="720" w:leader="none"/>
          <w:tab w:val="left" w:pos="1080" w:leader="none"/>
        </w:tabs>
        <w:spacing w:before="240" w:after="120" w:line="240"/>
        <w:ind w:right="0" w:left="0"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Table .  Coupling Impact Test Matrix</w:t>
      </w:r>
    </w:p>
    <w:tbl>
      <w:tblPr/>
      <w:tblGrid>
        <w:gridCol w:w="1119"/>
        <w:gridCol w:w="1579"/>
        <w:gridCol w:w="2336"/>
        <w:gridCol w:w="2163"/>
        <w:gridCol w:w="2163"/>
      </w:tblGrid>
      <w:tr>
        <w:trPr>
          <w:trHeight w:val="1" w:hRule="atLeast"/>
          <w:jc w:val="center"/>
        </w:trPr>
        <w:tc>
          <w:tcPr>
            <w:tcW w:w="1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Filename</w:t>
            </w:r>
          </w:p>
        </w:tc>
        <w:tc>
          <w:tcPr>
            <w:tcW w:w="15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Impacted End</w:t>
            </w:r>
          </w:p>
        </w:tc>
        <w:tc>
          <w:tcPr>
            <w:tcW w:w="2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Planned Speed (mph)</w:t>
            </w:r>
          </w:p>
        </w:tc>
        <w:tc>
          <w:tcPr>
            <w:tcW w:w="21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Actual Speed (mph)</w:t>
            </w:r>
          </w:p>
        </w:tc>
        <w:tc>
          <w:tcPr>
            <w:tcW w:w="21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0"/>
                <w:shd w:fill="auto" w:val="clear"/>
              </w:rPr>
              <w:t xml:space="preserve">Coupler Load (kips)</w:t>
            </w:r>
          </w:p>
        </w:tc>
      </w:tr>
      <w:tr>
        <w:trPr>
          <w:trHeight w:val="1" w:hRule="atLeast"/>
          <w:jc w:val="center"/>
        </w:trPr>
        <w:tc>
          <w:tcPr>
            <w:tcW w:w="1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B-End</w:t>
            </w:r>
          </w:p>
        </w:tc>
        <w:tc>
          <w:tcPr>
            <w:tcW w:w="2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w:t>
            </w:r>
          </w:p>
        </w:tc>
        <w:tc>
          <w:tcPr>
            <w:tcW w:w="21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1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B-End</w:t>
            </w:r>
          </w:p>
        </w:tc>
        <w:tc>
          <w:tcPr>
            <w:tcW w:w="2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w:t>
            </w:r>
          </w:p>
        </w:tc>
        <w:tc>
          <w:tcPr>
            <w:tcW w:w="21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1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B-End</w:t>
            </w:r>
          </w:p>
        </w:tc>
        <w:tc>
          <w:tcPr>
            <w:tcW w:w="2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6</w:t>
            </w:r>
          </w:p>
        </w:tc>
        <w:tc>
          <w:tcPr>
            <w:tcW w:w="21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1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B-End</w:t>
            </w:r>
          </w:p>
        </w:tc>
        <w:tc>
          <w:tcPr>
            <w:tcW w:w="2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8</w:t>
            </w:r>
          </w:p>
        </w:tc>
        <w:tc>
          <w:tcPr>
            <w:tcW w:w="21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1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A-End</w:t>
            </w:r>
          </w:p>
        </w:tc>
        <w:tc>
          <w:tcPr>
            <w:tcW w:w="2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w:t>
            </w:r>
          </w:p>
        </w:tc>
        <w:tc>
          <w:tcPr>
            <w:tcW w:w="21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1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A-End</w:t>
            </w:r>
          </w:p>
        </w:tc>
        <w:tc>
          <w:tcPr>
            <w:tcW w:w="2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w:t>
            </w:r>
          </w:p>
        </w:tc>
        <w:tc>
          <w:tcPr>
            <w:tcW w:w="21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1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A-End</w:t>
            </w:r>
          </w:p>
        </w:tc>
        <w:tc>
          <w:tcPr>
            <w:tcW w:w="2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6</w:t>
            </w:r>
          </w:p>
        </w:tc>
        <w:tc>
          <w:tcPr>
            <w:tcW w:w="21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1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A-End</w:t>
            </w:r>
          </w:p>
        </w:tc>
        <w:tc>
          <w:tcPr>
            <w:tcW w:w="2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8</w:t>
            </w:r>
          </w:p>
        </w:tc>
        <w:tc>
          <w:tcPr>
            <w:tcW w:w="21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c>
          <w:tcPr>
            <w:tcW w:w="21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tabs>
                <w:tab w:val="left" w:pos="360" w:leader="none"/>
                <w:tab w:val="left" w:pos="720" w:leader="none"/>
                <w:tab w:val="left" w:pos="1080" w:leader="none"/>
              </w:tabs>
              <w:spacing w:before="0" w:after="0" w:line="240"/>
              <w:ind w:right="0" w:left="0" w:firstLine="0"/>
              <w:jc w:val="center"/>
              <w:rPr>
                <w:rFonts w:ascii="Calibri" w:hAnsi="Calibri" w:cs="Calibri" w:eastAsia="Calibri"/>
                <w:color w:val="auto"/>
                <w:spacing w:val="0"/>
                <w:position w:val="0"/>
                <w:sz w:val="22"/>
                <w:shd w:fill="auto" w:val="clear"/>
              </w:rPr>
            </w:pPr>
          </w:p>
        </w:tc>
      </w:tr>
    </w:tbl>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keepNext w:val="true"/>
        <w:numPr>
          <w:ilvl w:val="0"/>
          <w:numId w:val="911"/>
        </w:numPr>
        <w:tabs>
          <w:tab w:val="left" w:pos="540" w:leader="none"/>
        </w:tabs>
        <w:spacing w:before="360" w:after="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Return ENSA ENUN 32P Cask Test Unit to US East Coast Port</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Currently, the project team intends to collect shock and vibration data during the return trip with the ENSA ENUN 32P cask test unit from TTCI to the U.S. east coast. Data collection on the return trip to the east coast will add to the data collected during the initial trip, potentially close (or help close) gaps in information not fully collected. Given the large prior investment in equipment and experience, collecting the additional data is likely to be accomplished at lower cost. The additional data would be to add to insight about shock and vibration that will normally occur during the future transport of spent nuclear fuel by railroads in the United States. The decision on whether to collect data during the return trip from the Port of Baltimore to the Port of Santander will be made after a preliminary review of the data from the first ocean-going leg.  It is expected that the approach for collecting data would use the DAC, instrumentation, power supply, and SAV-EM system, and follow largely in reverse of the sequence discussed in the previous sections.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After delivery of the ENSA ENUN 32P cask test unit on its railcar by the railroad company to the Port of Baltimore and acceptance from the railroad by ENSA/DOE team and the shipper, the ENSA ENUN 32P cask test unit will be moved to the staging area used to prepare it for shipment to ENSA.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 the staging area the ENSA/DOE team will retrieve the hard drives containing the shock and vibration data collected during the travel from TTCI to Baltimore. At this time, the DAC, the batteries, the SAV-EM system, exposed instrument leads, and accessible instruments from the ENSA ENUN 32P cask test unit will be removed and sent to appropriate owner. The ENSA ENUN 32P cask test unit housing will then be secured for ocean transport. The DAC, batteries and exposed instrument leads and instruments will be packaged for shipment to SNL. The SAV-EM system will be sent to SRNL. At the discretion of the organization providing the system, the SAV-EM system may stay with the ENSA ENUN 32P cask during the return trip to Spain. Any ENSA ancillary equipment associated with the testing will also be transported to the Port of Baltimore return shipment to Spain or shipped directly to the ENSA facility in Spain from TTCI. ENSA/DOE will collaborate with ENSA’s freight forwarding contractor to make necessary arrangements to include this equipment with the ENSA ENUN 32P cask test unit in the outbound ship’s cargo manifest.</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ENSA/DOE and the shipper will arrange for and obtain any necessary services of craft workers from the Baltimore region to assist Port of Baltimore MAFI services to remove the ENSA ENUN 32P cask test unit from the heavy-duty rail car, and transport it to dock-side for movement onto an ocean cargo vessel for return shipment to Spain. ENSA and the shipper will be responsible for returning the heavy-duty railcar to its owner and releasing use of the staging area at the Port of Baltimore to its owner.</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9-5 provides a summary of the major activities that will occur during the U.S. cross-country rail return trip of the ENSA ENUN 32P cask test unit from the time it is moved from the TTCI facility to the BNSF Avondale yard east of Pueblo, Colorado until it is delivered to the staging area at the Port of Baltimore for return shipment to Spain.</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p>
    <w:p>
      <w:pPr>
        <w:keepNext w:val="true"/>
        <w:tabs>
          <w:tab w:val="left" w:pos="360" w:leader="none"/>
          <w:tab w:val="left" w:pos="720" w:leader="none"/>
          <w:tab w:val="left" w:pos="1080" w:leader="none"/>
        </w:tabs>
        <w:spacing w:before="240" w:after="120" w:line="240"/>
        <w:ind w:right="0" w:left="1037" w:hanging="1037"/>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  Major Activities During Return Trip US Cross-Country Rail Transport of the ENSA ENUN 32P Cask Test Unit</w:t>
      </w:r>
    </w:p>
    <w:tbl>
      <w:tblPr/>
      <w:tblGrid>
        <w:gridCol w:w="2851"/>
        <w:gridCol w:w="6499"/>
      </w:tblGrid>
      <w:tr>
        <w:trPr>
          <w:trHeight w:val="1" w:hRule="atLeast"/>
          <w:jc w:val="left"/>
          <w:cantSplit w:val="1"/>
        </w:trPr>
        <w:tc>
          <w:tcPr>
            <w:tcW w:w="2851"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Activity</w:t>
            </w:r>
          </w:p>
        </w:tc>
        <w:tc>
          <w:tcPr>
            <w:tcW w:w="6499"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Description</w:t>
            </w:r>
          </w:p>
        </w:tc>
      </w:tr>
      <w:tr>
        <w:trPr>
          <w:trHeight w:val="1" w:hRule="atLeast"/>
          <w:jc w:val="left"/>
        </w:trPr>
        <w:tc>
          <w:tcPr>
            <w:tcW w:w="2851"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 Verify Securement of ENSA ENUN 32P Cask Test Unit to Railcar for Shipment to Port of Baltimore</w:t>
            </w:r>
          </w:p>
        </w:tc>
        <w:tc>
          <w:tcPr>
            <w:tcW w:w="6499"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Securement of the test unit to the heavy-duty railcar will be verified and a railroad inspector will determine that the securement of the test unit and the unit’s transportation integrity satisfy the AAR requirements. These actions will be accomplished through prior arrangements made by the ENSA/DOE team and the shipper. Potential inspection by TTCI personnel may provide the necessary assurance that the ENSA ENUN 32P cask test unit is ready for transport on commercial track. </w:t>
            </w:r>
          </w:p>
        </w:tc>
      </w:tr>
      <w:tr>
        <w:trPr>
          <w:trHeight w:val="1" w:hRule="atLeast"/>
          <w:jc w:val="left"/>
        </w:trPr>
        <w:tc>
          <w:tcPr>
            <w:tcW w:w="2851"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 Prepare ENSA ENUN 32P Cask Test Unit to Collect Rail Shock and Vibration Data</w:t>
            </w:r>
          </w:p>
        </w:tc>
        <w:tc>
          <w:tcPr>
            <w:tcW w:w="6499"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After securement of the ENSA ENUN 32P cask test unit to its railcar has been verified, the ENSA/DOE team’s technical personnel will inspect the ENSA ENUN 32P cask test unit (including the SAV-EM system), recharge batteries, replace components (including replace hard drives), and make repairs (if needed). The DAC will be reinitialized. Also, the cellular (TBV) network download will be tested.</w:t>
            </w:r>
          </w:p>
        </w:tc>
      </w:tr>
      <w:tr>
        <w:trPr>
          <w:trHeight w:val="1" w:hRule="atLeast"/>
          <w:jc w:val="left"/>
        </w:trPr>
        <w:tc>
          <w:tcPr>
            <w:tcW w:w="2851"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 Conduct Rail Shipment Readiness Review</w:t>
            </w:r>
          </w:p>
        </w:tc>
        <w:tc>
          <w:tcPr>
            <w:tcW w:w="6499"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Following completion of all individual preparations and inspections identified by a prearranged checklist and independent verifications as may be prudent, the ENSA/DOE team’s project leaders will conduct a rail shipment readiness review with the project team members. The review will verify that all necessary actions to ensure the ENSA ENUN 32P cask test unit is properly prepared and ready for data collection and return rail shipment to the Port of Baltimore have been satisfactorily completed.</w:t>
            </w:r>
          </w:p>
        </w:tc>
      </w:tr>
      <w:tr>
        <w:trPr>
          <w:trHeight w:val="1" w:hRule="atLeast"/>
          <w:jc w:val="left"/>
        </w:trPr>
        <w:tc>
          <w:tcPr>
            <w:tcW w:w="2851"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 Release ENSA ENUN 32P Cask Test Unit to Railroad for Shipment to TTCI</w:t>
            </w:r>
          </w:p>
        </w:tc>
        <w:tc>
          <w:tcPr>
            <w:tcW w:w="6499"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Following completion of the readiness review and notification by the ENSA/DOE team that the ENSA ENUN 32P cask test unit is ready to ship, a TTCI locomotive and crew will move the ENSA ENUN 32P cask test unit to the BNSF Avondale yard where it will be placed for pick up by a Class 1 western U.S. railroad for shipment east-bound to the Port of Baltimore. </w:t>
            </w:r>
          </w:p>
        </w:tc>
      </w:tr>
      <w:tr>
        <w:trPr>
          <w:trHeight w:val="1" w:hRule="atLeast"/>
          <w:jc w:val="left"/>
        </w:trPr>
        <w:tc>
          <w:tcPr>
            <w:tcW w:w="2851"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64"/>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 Railroad Company Picks up ENSA ENUN 32P Cask Test Unit Shipment </w:t>
            </w:r>
          </w:p>
        </w:tc>
        <w:tc>
          <w:tcPr>
            <w:tcW w:w="6499"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64"/>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 Class 1 U.S. railroad company will transport the ENSA ENUN 32P cask test unit in one of its east-bound trains from the BNSF Avondale yard east of Pueblo, Colorado. The shipment will be picked up at the Avondale yard after being delivered from TTCI by a TTCI rail crew and locomotive. The shipper will coordinate with the western railroad company to schedule pick up of the shipment.</w:t>
            </w:r>
          </w:p>
        </w:tc>
      </w:tr>
      <w:tr>
        <w:trPr>
          <w:trHeight w:val="1" w:hRule="atLeast"/>
          <w:jc w:val="left"/>
        </w:trPr>
        <w:tc>
          <w:tcPr>
            <w:tcW w:w="2851"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64"/>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 ENSA ENUN 32P Cask Test Unit Transits from BNSF Avondale Yard to Port of Baltimore</w:t>
            </w:r>
          </w:p>
        </w:tc>
        <w:tc>
          <w:tcPr>
            <w:tcW w:w="6499"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64"/>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While in transit, the DAC will record and store eastern rail transit shock and vibration signal data from the test unit’s instrument sensors. Periodically, selected data may be transmitted by the SAV-EM satellite system while the test unit is in transit. The ENSA/DOE team’s technical staff will continuously monitor information transmitted from the ENSA ENUN 32P cask test unit.</w:t>
            </w:r>
          </w:p>
        </w:tc>
      </w:tr>
    </w:tbl>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95.  (contd.)</w:t>
      </w:r>
    </w:p>
    <w:tbl>
      <w:tblPr/>
      <w:tblGrid>
        <w:gridCol w:w="2851"/>
        <w:gridCol w:w="6499"/>
      </w:tblGrid>
      <w:tr>
        <w:trPr>
          <w:trHeight w:val="1" w:hRule="atLeast"/>
          <w:jc w:val="left"/>
          <w:cantSplit w:val="1"/>
        </w:trPr>
        <w:tc>
          <w:tcPr>
            <w:tcW w:w="2851"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Activity</w:t>
            </w:r>
          </w:p>
        </w:tc>
        <w:tc>
          <w:tcPr>
            <w:tcW w:w="6499"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Description</w:t>
            </w:r>
          </w:p>
        </w:tc>
      </w:tr>
      <w:tr>
        <w:trPr>
          <w:trHeight w:val="1" w:hRule="atLeast"/>
          <w:jc w:val="left"/>
        </w:trPr>
        <w:tc>
          <w:tcPr>
            <w:tcW w:w="2851"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7. ENSA ENUN 32P Cask Test Unit Delivered to Staging Area Side Track or Rail Spur</w:t>
            </w:r>
          </w:p>
        </w:tc>
        <w:tc>
          <w:tcPr>
            <w:tcW w:w="6499"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Delivery of the ENSA ENUN 32P cask test unit to the staging area at the Port of Baltimore by an eastern railroad will be the end of the commercial rail shipment of the unit to Baltimore from TTCI. Following delivery by the railroad company to the staging area, ENSA/DOE team and the shipper will inspect the shipment and accept it from the railroad.</w:t>
            </w:r>
          </w:p>
        </w:tc>
      </w:tr>
      <w:tr>
        <w:trPr>
          <w:trHeight w:val="1" w:hRule="atLeast"/>
          <w:jc w:val="left"/>
        </w:trPr>
        <w:tc>
          <w:tcPr>
            <w:tcW w:w="2851"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 ENSA ENUN 32P Cask Test Unit Readied for Ocean Transport to Spain.</w:t>
            </w:r>
          </w:p>
        </w:tc>
        <w:tc>
          <w:tcPr>
            <w:tcW w:w="6499"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After its arrival at the staging area’s side track or rail spur at the Port of Baltimore, the railcar carrying the ENSA ENUN 32P cask test unit will be secured so work can be done on and around it. The ENSA/DOE team’s technical staff (who will have arrived before to prepare for arrival of the railcar) will remove the hard drives that contain the data collected during the trip from TTCI to the Port of Baltimore. The DAC will be removed at that time along with the batteries, the SAVEM system, and removable instrument leads and external instrument sensors from the ENSA ENUN 32P cask test unit and prepared for shipment to SNL or SRNL. In addition, the overall ENSA ENUN 32P cask test unit will be inspected to ensure its integrity for the return trip to Spain. </w:t>
            </w:r>
          </w:p>
        </w:tc>
      </w:tr>
      <w:tr>
        <w:trPr>
          <w:trHeight w:val="1" w:hRule="atLeast"/>
          <w:jc w:val="left"/>
        </w:trPr>
        <w:tc>
          <w:tcPr>
            <w:tcW w:w="2851"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 ENSA Ancillary Equipment Prepared for Return Shipment to Spain.</w:t>
            </w:r>
          </w:p>
        </w:tc>
        <w:tc>
          <w:tcPr>
            <w:tcW w:w="6499"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ancillary equipment that is shipped to the United States with the ENSA ENUN 32P cask test unit will be returned with the test unit when the unit is returned to Spain. If ancillary equipment is not needed at the Port of Baltimore that equipment may be shipped directly to ENSA from TTCI. Ancillary equipment is expected to be transported in an ISO container that would be handled and shipped separately from the test unit.</w:t>
            </w:r>
          </w:p>
        </w:tc>
      </w:tr>
      <w:tr>
        <w:trPr>
          <w:trHeight w:val="1" w:hRule="atLeast"/>
          <w:jc w:val="left"/>
        </w:trPr>
        <w:tc>
          <w:tcPr>
            <w:tcW w:w="2851"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10. DAC, Batteries, Battery Charger, SAV-EM System, Removable Instrument Leads, and External Instrument Sensors are Returned.</w:t>
            </w:r>
          </w:p>
        </w:tc>
        <w:tc>
          <w:tcPr>
            <w:tcW w:w="6499" w:type="dxa"/>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DAC, power supply batteries, battery charger, SAV-EM system, instrument leads, and external instrument sensors that can be removed from the ENSA ENUN 32P cask test unit at the Port of Baltimore will be removed and shipped separately from the ENSA ENUN 32P cask test unit and/or as directed by their respective owners in the ENSA/DOE team (ENSA, SNL, and SRNL).</w:t>
            </w:r>
          </w:p>
        </w:tc>
      </w:tr>
      <w:tr>
        <w:trPr>
          <w:trHeight w:val="1" w:hRule="atLeast"/>
          <w:jc w:val="left"/>
        </w:trPr>
        <w:tc>
          <w:tcPr>
            <w:tcW w:w="9350" w:type="dxa"/>
            <w:gridSpan w:val="2"/>
            <w:tcBorders>
              <w:top w:val="single" w:color="000000" w:sz="4"/>
              <w:left w:val="single" w:color="000000" w:sz="4"/>
              <w:bottom w:val="single" w:color="000000" w:sz="4"/>
              <w:right w:val="single" w:color="000000" w:sz="4"/>
            </w:tcBorders>
            <w:shd w:color="000000" w:fill="ffffff" w:val="clear"/>
            <w:tcMar>
              <w:left w:w="86" w:type="dxa"/>
              <w:right w:w="86" w:type="dxa"/>
            </w:tcMar>
            <w:vAlign w:val="top"/>
          </w:tcPr>
          <w:p>
            <w:pPr>
              <w:tabs>
                <w:tab w:val="left" w:pos="360" w:leader="none"/>
                <w:tab w:val="left" w:pos="720" w:leader="none"/>
                <w:tab w:val="left" w:pos="1080" w:leader="none"/>
              </w:tabs>
              <w:spacing w:before="0" w:after="0" w:line="264"/>
              <w:ind w:right="0" w:left="0" w:firstLine="0"/>
              <w:jc w:val="left"/>
              <w:rPr>
                <w:rFonts w:ascii="Calibri" w:hAnsi="Calibri" w:cs="Calibri" w:eastAsia="Calibri"/>
                <w:color w:val="auto"/>
                <w:spacing w:val="0"/>
                <w:position w:val="0"/>
                <w:sz w:val="22"/>
                <w:shd w:fill="auto" w:val="clear"/>
              </w:rPr>
            </w:pPr>
          </w:p>
        </w:tc>
      </w:tr>
    </w:tbl>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numPr>
          <w:ilvl w:val="0"/>
          <w:numId w:val="947"/>
        </w:numPr>
        <w:tabs>
          <w:tab w:val="left" w:pos="540" w:leader="none"/>
        </w:tabs>
        <w:spacing w:before="0" w:after="360" w:line="240"/>
        <w:ind w:right="0" w:left="0" w:firstLine="0"/>
        <w:jc w:val="left"/>
        <w:rPr>
          <w:rFonts w:ascii="Arial" w:hAnsi="Arial" w:cs="Arial" w:eastAsia="Arial"/>
          <w:b/>
          <w:caps w:val="true"/>
          <w:color w:val="auto"/>
          <w:spacing w:val="0"/>
          <w:position w:val="0"/>
          <w:sz w:val="28"/>
          <w:shd w:fill="auto" w:val="clear"/>
        </w:rPr>
      </w:pPr>
      <w:r>
        <w:rPr>
          <w:rFonts w:ascii="Arial" w:hAnsi="Arial" w:cs="Arial" w:eastAsia="Arial"/>
          <w:b/>
          <w:caps w:val="true"/>
          <w:color w:val="auto"/>
          <w:spacing w:val="0"/>
          <w:position w:val="0"/>
          <w:sz w:val="28"/>
          <w:shd w:fill="auto" w:val="clear"/>
        </w:rPr>
        <w:t xml:space="preserve">References</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AAR - Association of American Railroads. 2008. </w:t>
      </w:r>
      <w:r>
        <w:rPr>
          <w:rFonts w:ascii="Times New Roman" w:hAnsi="Times New Roman" w:cs="Times New Roman" w:eastAsia="Times New Roman"/>
          <w:i/>
          <w:color w:val="auto"/>
          <w:spacing w:val="0"/>
          <w:position w:val="0"/>
          <w:sz w:val="24"/>
          <w:shd w:fill="auto" w:val="clear"/>
        </w:rPr>
        <w:t xml:space="preserve">Performance Specification for Trains Used to Carry High-Level Radioactive Material</w:t>
      </w:r>
      <w:r>
        <w:rPr>
          <w:rFonts w:ascii="Times New Roman" w:hAnsi="Times New Roman" w:cs="Times New Roman" w:eastAsia="Times New Roman"/>
          <w:color w:val="auto"/>
          <w:spacing w:val="0"/>
          <w:position w:val="0"/>
          <w:sz w:val="24"/>
          <w:shd w:fill="auto" w:val="clear"/>
        </w:rPr>
        <w:t xml:space="preserve">. Standard S-2043. Association of American Railroads, Washington, D.C.</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AAR  Association of American Railroads. 2013. </w:t>
      </w:r>
      <w:r>
        <w:rPr>
          <w:rFonts w:ascii="Times New Roman" w:hAnsi="Times New Roman" w:cs="Times New Roman" w:eastAsia="Times New Roman"/>
          <w:i/>
          <w:color w:val="auto"/>
          <w:spacing w:val="0"/>
          <w:position w:val="0"/>
          <w:sz w:val="24"/>
          <w:shd w:fill="auto" w:val="clear"/>
        </w:rPr>
        <w:t xml:space="preserve">AAR Open Top Loading Rules Manual</w:t>
      </w:r>
      <w:r>
        <w:rPr>
          <w:rFonts w:ascii="Times New Roman" w:hAnsi="Times New Roman" w:cs="Times New Roman" w:eastAsia="Times New Roman"/>
          <w:color w:val="auto"/>
          <w:spacing w:val="0"/>
          <w:position w:val="0"/>
          <w:sz w:val="24"/>
          <w:shd w:fill="auto" w:val="clear"/>
        </w:rPr>
        <w:t xml:space="preserve">, American Association of Railroad, Washington, D.C. </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U.S. Department of Energy. 2014. </w:t>
      </w:r>
      <w:r>
        <w:rPr>
          <w:rFonts w:ascii="Times New Roman" w:hAnsi="Times New Roman" w:cs="Times New Roman" w:eastAsia="Times New Roman"/>
          <w:i/>
          <w:color w:val="auto"/>
          <w:spacing w:val="0"/>
          <w:position w:val="0"/>
          <w:sz w:val="24"/>
          <w:shd w:fill="auto" w:val="clear"/>
        </w:rPr>
        <w:t xml:space="preserve">Normal Conditions of Transport Truck Test of a Surrogate Fuel Assembly</w:t>
      </w:r>
      <w:r>
        <w:rPr>
          <w:rFonts w:ascii="Times New Roman" w:hAnsi="Times New Roman" w:cs="Times New Roman" w:eastAsia="Times New Roman"/>
          <w:color w:val="auto"/>
          <w:spacing w:val="0"/>
          <w:position w:val="0"/>
          <w:sz w:val="24"/>
          <w:shd w:fill="auto" w:val="clear"/>
        </w:rPr>
        <w:t xml:space="preserve">.  FCRD-UFD-2014-000066. Revision 0.1, U.S. Department of Energy, Washington, D.C.</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Hanson, BD, AA Alsaed, and CT Stockman. 2012. </w:t>
      </w:r>
      <w:r>
        <w:rPr>
          <w:rFonts w:ascii="Times New Roman" w:hAnsi="Times New Roman" w:cs="Times New Roman" w:eastAsia="Times New Roman"/>
          <w:i/>
          <w:color w:val="auto"/>
          <w:spacing w:val="0"/>
          <w:position w:val="0"/>
          <w:sz w:val="24"/>
          <w:shd w:fill="auto" w:val="clear"/>
        </w:rPr>
        <w:t xml:space="preserve">Used Nuclear Fuel Storage and Transportation Data Gap Prioritization</w:t>
      </w:r>
      <w:r>
        <w:rPr>
          <w:rFonts w:ascii="Times New Roman" w:hAnsi="Times New Roman" w:cs="Times New Roman" w:eastAsia="Times New Roman"/>
          <w:color w:val="auto"/>
          <w:spacing w:val="0"/>
          <w:position w:val="0"/>
          <w:sz w:val="24"/>
          <w:shd w:fill="auto" w:val="clear"/>
        </w:rPr>
        <w:t xml:space="preserve">. DRAFT FCRD-USED-2012-000109, PNNL-21360. U.S. Department of Energy, Washington, D.C.</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Klymyshyn 2016 -  “Finite Element &amp; Modeling in Support of S&amp;V Test Plan, FCRD-UFD-2016-000425</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Livermore Software Technology Corporation. 2013. </w:t>
      </w:r>
      <w:r>
        <w:rPr>
          <w:rFonts w:ascii="Times New Roman" w:hAnsi="Times New Roman" w:cs="Times New Roman" w:eastAsia="Times New Roman"/>
          <w:i/>
          <w:color w:val="auto"/>
          <w:spacing w:val="0"/>
          <w:position w:val="0"/>
          <w:sz w:val="24"/>
          <w:shd w:fill="auto" w:val="clear"/>
        </w:rPr>
        <w:t xml:space="preserve">LS-DYNA® Keyword User’s Manual</w:t>
      </w:r>
      <w:r>
        <w:rPr>
          <w:rFonts w:ascii="Times New Roman" w:hAnsi="Times New Roman" w:cs="Times New Roman" w:eastAsia="Times New Roman"/>
          <w:color w:val="auto"/>
          <w:spacing w:val="0"/>
          <w:position w:val="0"/>
          <w:sz w:val="24"/>
          <w:shd w:fill="auto" w:val="clear"/>
        </w:rPr>
        <w:t xml:space="preserve">, Volume I, Version R7.0. Livermore Software Technology Corporation, Livermore, California.</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3"/>
          <w:shd w:fill="auto" w:val="clear"/>
        </w:rPr>
        <w:t xml:space="preserve">McConnell PE, R Wauneka, G Koenig, W Uncapher, C Grey, C Engelhardt, S Saltzstein, and K Sorenson. 2015. </w:t>
      </w:r>
      <w:r>
        <w:rPr>
          <w:rFonts w:ascii="Times New Roman" w:hAnsi="Times New Roman" w:cs="Times New Roman" w:eastAsia="Times New Roman"/>
          <w:i/>
          <w:color w:val="auto"/>
          <w:spacing w:val="0"/>
          <w:position w:val="0"/>
          <w:sz w:val="23"/>
          <w:shd w:fill="auto" w:val="clear"/>
        </w:rPr>
        <w:t xml:space="preserve">Surrogate Fuel Assembly Multi-Axis Shaker Tests to Simulate Normal Conditions of Rail and Truck Transport</w:t>
      </w:r>
      <w:r>
        <w:rPr>
          <w:rFonts w:ascii="Times New Roman" w:hAnsi="Times New Roman" w:cs="Times New Roman" w:eastAsia="Times New Roman"/>
          <w:color w:val="auto"/>
          <w:spacing w:val="0"/>
          <w:position w:val="0"/>
          <w:sz w:val="23"/>
          <w:shd w:fill="auto" w:val="clear"/>
        </w:rPr>
        <w:t xml:space="preserve">, Sandia National Laboratory, Albuquerque, NM. FCRD-UFD-2015-000128.</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TTCI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Transportation Technology Center, Inc. 2015. </w:t>
      </w:r>
      <w:r>
        <w:rPr>
          <w:rFonts w:ascii="Times New Roman" w:hAnsi="Times New Roman" w:cs="Times New Roman" w:eastAsia="Times New Roman"/>
          <w:i/>
          <w:color w:val="auto"/>
          <w:spacing w:val="0"/>
          <w:position w:val="0"/>
          <w:sz w:val="24"/>
          <w:shd w:fill="auto" w:val="clear"/>
        </w:rPr>
        <w:t xml:space="preserve">NUCARS© User Manual</w:t>
      </w:r>
      <w:r>
        <w:rPr>
          <w:rFonts w:ascii="Times New Roman" w:hAnsi="Times New Roman" w:cs="Times New Roman" w:eastAsia="Times New Roman"/>
          <w:color w:val="auto"/>
          <w:spacing w:val="0"/>
          <w:position w:val="0"/>
          <w:sz w:val="24"/>
          <w:shd w:fill="auto" w:val="clear"/>
        </w:rPr>
        <w:t xml:space="preserve">, Version 2015.2, Transportation Technology Center, Inc., Pueblo, Colorado.</w:t>
      </w:r>
    </w:p>
    <w:p>
      <w:pPr>
        <w:tabs>
          <w:tab w:val="left" w:pos="360" w:leader="none"/>
          <w:tab w:val="left" w:pos="720" w:leader="none"/>
          <w:tab w:val="left" w:pos="1080" w:leader="none"/>
        </w:tabs>
        <w:spacing w:before="24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950"/>
        </w:numPr>
        <w:tabs>
          <w:tab w:val="left" w:pos="90" w:leader="none"/>
        </w:tabs>
        <w:spacing w:before="0" w:after="0" w:line="240"/>
        <w:ind w:right="0" w:left="1080" w:hanging="360"/>
        <w:jc w:val="left"/>
        <w:rPr>
          <w:rFonts w:ascii="Times New Roman" w:hAnsi="Times New Roman" w:cs="Times New Roman" w:eastAsia="Times New Roman"/>
          <w:i/>
          <w:color w:val="auto"/>
          <w:spacing w:val="0"/>
          <w:position w:val="0"/>
          <w:sz w:val="24"/>
          <w:shd w:fill="auto" w:val="clear"/>
        </w:rPr>
      </w:pPr>
    </w:p>
    <w:p>
      <w:pPr>
        <w:numPr>
          <w:ilvl w:val="0"/>
          <w:numId w:val="950"/>
        </w:numPr>
        <w:tabs>
          <w:tab w:val="left" w:pos="360" w:leader="none"/>
          <w:tab w:val="left" w:pos="720" w:leader="none"/>
        </w:tabs>
        <w:spacing w:before="0" w:after="0" w:line="240"/>
        <w:ind w:right="0" w:left="0" w:firstLine="0"/>
        <w:jc w:val="left"/>
        <w:rPr>
          <w:rFonts w:ascii="Arial" w:hAnsi="Arial" w:cs="Arial" w:eastAsia="Arial"/>
          <w:b/>
          <w:color w:val="auto"/>
          <w:spacing w:val="0"/>
          <w:position w:val="0"/>
          <w:sz w:val="36"/>
          <w:shd w:fill="auto" w:val="clear"/>
        </w:rPr>
      </w:pPr>
      <w:r>
        <w:rPr>
          <w:rFonts w:ascii="Arial" w:hAnsi="Arial" w:cs="Arial" w:eastAsia="Arial"/>
          <w:b/>
          <w:color w:val="auto"/>
          <w:spacing w:val="0"/>
          <w:position w:val="0"/>
          <w:sz w:val="36"/>
          <w:shd w:fill="auto" w:val="clear"/>
        </w:rPr>
        <w:t xml:space="preserve">Project Schedule</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Appendix A presents an integrated project schedule that begins with the establishment of the project agreements (nondisclosure, borrowed property) and presents the specific tasks needed to accomplish the ENSA/DOE transport cask testing project. Specific activities addressed in the schedule include: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953"/>
        </w:numPr>
        <w:tabs>
          <w:tab w:val="left" w:pos="360" w:leader="none"/>
          <w:tab w:val="left" w:pos="720" w:leader="none"/>
          <w:tab w:val="left" w:pos="1080" w:leader="none"/>
        </w:tabs>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Instrumentation planning</w:t>
      </w:r>
    </w:p>
    <w:p>
      <w:pPr>
        <w:numPr>
          <w:ilvl w:val="0"/>
          <w:numId w:val="953"/>
        </w:numPr>
        <w:tabs>
          <w:tab w:val="left" w:pos="360" w:leader="none"/>
          <w:tab w:val="left" w:pos="720" w:leader="none"/>
          <w:tab w:val="left" w:pos="1080" w:leader="none"/>
        </w:tabs>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Team interactions</w:t>
      </w:r>
    </w:p>
    <w:p>
      <w:pPr>
        <w:numPr>
          <w:ilvl w:val="0"/>
          <w:numId w:val="953"/>
        </w:numPr>
        <w:tabs>
          <w:tab w:val="left" w:pos="360" w:leader="none"/>
          <w:tab w:val="left" w:pos="720" w:leader="none"/>
          <w:tab w:val="left" w:pos="1080" w:leader="none"/>
        </w:tabs>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Modeling</w:t>
      </w:r>
    </w:p>
    <w:p>
      <w:pPr>
        <w:numPr>
          <w:ilvl w:val="0"/>
          <w:numId w:val="953"/>
        </w:numPr>
        <w:tabs>
          <w:tab w:val="left" w:pos="360" w:leader="none"/>
          <w:tab w:val="left" w:pos="720" w:leader="none"/>
          <w:tab w:val="left" w:pos="1080" w:leader="none"/>
        </w:tabs>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Equipment design</w:t>
      </w:r>
    </w:p>
    <w:p>
      <w:pPr>
        <w:numPr>
          <w:ilvl w:val="0"/>
          <w:numId w:val="953"/>
        </w:numPr>
        <w:tabs>
          <w:tab w:val="left" w:pos="360" w:leader="none"/>
          <w:tab w:val="left" w:pos="720" w:leader="none"/>
          <w:tab w:val="left" w:pos="1080" w:leader="none"/>
        </w:tabs>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Equipment fabrication</w:t>
      </w:r>
    </w:p>
    <w:p>
      <w:pPr>
        <w:numPr>
          <w:ilvl w:val="0"/>
          <w:numId w:val="953"/>
        </w:numPr>
        <w:tabs>
          <w:tab w:val="left" w:pos="360" w:leader="none"/>
          <w:tab w:val="left" w:pos="720" w:leader="none"/>
          <w:tab w:val="left" w:pos="1080" w:leader="none"/>
        </w:tabs>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Instrumentation planning</w:t>
      </w:r>
    </w:p>
    <w:p>
      <w:pPr>
        <w:numPr>
          <w:ilvl w:val="0"/>
          <w:numId w:val="953"/>
        </w:numPr>
        <w:tabs>
          <w:tab w:val="left" w:pos="360" w:leader="none"/>
          <w:tab w:val="left" w:pos="720" w:leader="none"/>
          <w:tab w:val="left" w:pos="1080" w:leader="none"/>
        </w:tabs>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Preparation for and data collection during the specific transportation nodes</w:t>
      </w:r>
    </w:p>
    <w:p>
      <w:pPr>
        <w:numPr>
          <w:ilvl w:val="0"/>
          <w:numId w:val="953"/>
        </w:numPr>
        <w:tabs>
          <w:tab w:val="left" w:pos="360" w:leader="none"/>
          <w:tab w:val="left" w:pos="720" w:leader="none"/>
          <w:tab w:val="left" w:pos="1080" w:leader="none"/>
        </w:tabs>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Transloading</w:t>
      </w:r>
    </w:p>
    <w:p>
      <w:pPr>
        <w:numPr>
          <w:ilvl w:val="0"/>
          <w:numId w:val="953"/>
        </w:numPr>
        <w:tabs>
          <w:tab w:val="left" w:pos="360" w:leader="none"/>
          <w:tab w:val="left" w:pos="720" w:leader="none"/>
          <w:tab w:val="left" w:pos="1080" w:leader="none"/>
        </w:tabs>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Heavy-haul truck </w:t>
      </w:r>
    </w:p>
    <w:p>
      <w:pPr>
        <w:numPr>
          <w:ilvl w:val="0"/>
          <w:numId w:val="953"/>
        </w:numPr>
        <w:tabs>
          <w:tab w:val="left" w:pos="360" w:leader="none"/>
          <w:tab w:val="left" w:pos="720" w:leader="none"/>
          <w:tab w:val="left" w:pos="1080" w:leader="none"/>
        </w:tabs>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Barge</w:t>
      </w:r>
    </w:p>
    <w:p>
      <w:pPr>
        <w:numPr>
          <w:ilvl w:val="0"/>
          <w:numId w:val="953"/>
        </w:numPr>
        <w:tabs>
          <w:tab w:val="left" w:pos="360" w:leader="none"/>
          <w:tab w:val="left" w:pos="720" w:leader="none"/>
          <w:tab w:val="left" w:pos="1080" w:leader="none"/>
        </w:tabs>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Ocean-going ship</w:t>
      </w:r>
    </w:p>
    <w:p>
      <w:pPr>
        <w:numPr>
          <w:ilvl w:val="0"/>
          <w:numId w:val="953"/>
        </w:numPr>
        <w:tabs>
          <w:tab w:val="left" w:pos="360" w:leader="none"/>
          <w:tab w:val="left" w:pos="720" w:leader="none"/>
          <w:tab w:val="left" w:pos="1080" w:leader="none"/>
        </w:tabs>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Rail</w:t>
      </w:r>
    </w:p>
    <w:p>
      <w:pPr>
        <w:numPr>
          <w:ilvl w:val="0"/>
          <w:numId w:val="953"/>
        </w:numPr>
        <w:tabs>
          <w:tab w:val="left" w:pos="360" w:leader="none"/>
          <w:tab w:val="left" w:pos="720" w:leader="none"/>
          <w:tab w:val="left" w:pos="1080" w:leader="none"/>
        </w:tabs>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Captive track tests (TTCI)</w:t>
      </w:r>
    </w:p>
    <w:p>
      <w:pPr>
        <w:numPr>
          <w:ilvl w:val="0"/>
          <w:numId w:val="953"/>
        </w:numPr>
        <w:tabs>
          <w:tab w:val="left" w:pos="360" w:leader="none"/>
          <w:tab w:val="left" w:pos="720" w:leader="none"/>
          <w:tab w:val="left" w:pos="1080" w:leader="none"/>
        </w:tabs>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Return travel to U.S. east coast</w:t>
      </w:r>
    </w:p>
    <w:p>
      <w:pPr>
        <w:numPr>
          <w:ilvl w:val="0"/>
          <w:numId w:val="953"/>
        </w:numPr>
        <w:tabs>
          <w:tab w:val="left" w:pos="360" w:leader="none"/>
          <w:tab w:val="left" w:pos="720" w:leader="none"/>
          <w:tab w:val="left" w:pos="1080" w:leader="none"/>
        </w:tabs>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Return travel to ENSA</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schedule will be updated periodically as contracts are established with the shipper and other project key activities are better defined. It is essential to meet the commitments with ENSA and ENRESA, specifically, the return of the ENSA ENUN 32P cask to ENSA by December 2017.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12441" w:dyaOrig="8050">
          <v:rect xmlns:o="urn:schemas-microsoft-com:office:office" xmlns:v="urn:schemas-microsoft-com:vml" id="rectole0000000015" style="width:622.050000pt;height:402.5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5" ShapeID="rectole0000000015" r:id="docRId32"/>
        </w:objec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12441" w:dyaOrig="8050">
          <v:rect xmlns:o="urn:schemas-microsoft-com:office:office" xmlns:v="urn:schemas-microsoft-com:vml" id="rectole0000000016" style="width:622.050000pt;height:402.5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6" ShapeID="rectole0000000016" r:id="docRId34"/>
        </w:objec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12441" w:dyaOrig="8050">
          <v:rect xmlns:o="urn:schemas-microsoft-com:office:office" xmlns:v="urn:schemas-microsoft-com:vml" id="rectole0000000017" style="width:622.050000pt;height:402.5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7" ShapeID="rectole0000000017" r:id="docRId36"/>
        </w:objec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0" w:leader="none"/>
          <w:tab w:val="left" w:pos="720" w:leader="none"/>
          <w:tab w:val="left" w:pos="108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12441" w:dyaOrig="8050">
          <v:rect xmlns:o="urn:schemas-microsoft-com:office:office" xmlns:v="urn:schemas-microsoft-com:vml" id="rectole0000000018" style="width:622.050000pt;height:402.5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8" ShapeID="rectole0000000018" r:id="docRId38"/>
        </w:objec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8">
    <w:lvl w:ilvl="0">
      <w:start w:val="1"/>
      <w:numFmt w:val="bullet"/>
      <w:lvlText w:val="•"/>
    </w:lvl>
  </w:abstractNum>
  <w:abstractNum w:abstractNumId="264">
    <w:lvl w:ilvl="0">
      <w:start w:val="1"/>
      <w:numFmt w:val="bullet"/>
      <w:lvlText w:val="•"/>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abstractNum w:abstractNumId="288">
    <w:lvl w:ilvl="0">
      <w:start w:val="1"/>
      <w:numFmt w:val="bullet"/>
      <w:lvlText w:val="•"/>
    </w:lvl>
  </w:abstractNum>
  <w:abstractNum w:abstractNumId="294">
    <w:lvl w:ilvl="0">
      <w:start w:val="1"/>
      <w:numFmt w:val="bullet"/>
      <w:lvlText w:val="•"/>
    </w:lvl>
  </w:abstractNum>
  <w:abstractNum w:abstractNumId="300">
    <w:lvl w:ilvl="0">
      <w:start w:val="1"/>
      <w:numFmt w:val="bullet"/>
      <w:lvlText w:val="•"/>
    </w:lvl>
  </w:abstractNum>
  <w:abstractNum w:abstractNumId="306">
    <w:lvl w:ilvl="0">
      <w:start w:val="1"/>
      <w:numFmt w:val="bullet"/>
      <w:lvlText w:val="•"/>
    </w:lvl>
  </w:abstractNum>
  <w:abstractNum w:abstractNumId="312">
    <w:lvl w:ilvl="0">
      <w:start w:val="1"/>
      <w:numFmt w:val="bullet"/>
      <w:lvlText w:val="•"/>
    </w:lvl>
  </w:abstractNum>
  <w:abstractNum w:abstractNumId="318">
    <w:lvl w:ilvl="0">
      <w:start w:val="1"/>
      <w:numFmt w:val="bullet"/>
      <w:lvlText w:val="•"/>
    </w:lvl>
  </w:abstractNum>
  <w:abstractNum w:abstractNumId="324">
    <w:lvl w:ilvl="0">
      <w:start w:val="1"/>
      <w:numFmt w:val="bullet"/>
      <w:lvlText w:val="•"/>
    </w:lvl>
  </w:abstractNum>
  <w:abstractNum w:abstractNumId="330">
    <w:lvl w:ilvl="0">
      <w:start w:val="1"/>
      <w:numFmt w:val="bullet"/>
      <w:lvlText w:val="•"/>
    </w:lvl>
  </w:abstractNum>
  <w:abstractNum w:abstractNumId="336">
    <w:lvl w:ilvl="0">
      <w:start w:val="1"/>
      <w:numFmt w:val="bullet"/>
      <w:lvlText w:val="•"/>
    </w:lvl>
  </w:abstractNum>
  <w:abstractNum w:abstractNumId="342">
    <w:lvl w:ilvl="0">
      <w:start w:val="1"/>
      <w:numFmt w:val="bullet"/>
      <w:lvlText w:val="•"/>
    </w:lvl>
  </w:abstractNum>
  <w:abstractNum w:abstractNumId="348">
    <w:lvl w:ilvl="0">
      <w:start w:val="1"/>
      <w:numFmt w:val="bullet"/>
      <w:lvlText w:val="•"/>
    </w:lvl>
  </w:abstractNum>
  <w:abstractNum w:abstractNumId="354">
    <w:lvl w:ilvl="0">
      <w:start w:val="1"/>
      <w:numFmt w:val="bullet"/>
      <w:lvlText w:val="•"/>
    </w:lvl>
  </w:abstractNum>
  <w:abstractNum w:abstractNumId="360">
    <w:lvl w:ilvl="0">
      <w:start w:val="1"/>
      <w:numFmt w:val="bullet"/>
      <w:lvlText w:val="•"/>
    </w:lvl>
  </w:abstractNum>
  <w:abstractNum w:abstractNumId="366">
    <w:lvl w:ilvl="0">
      <w:start w:val="1"/>
      <w:numFmt w:val="bullet"/>
      <w:lvlText w:val="•"/>
    </w:lvl>
  </w:abstractNum>
  <w:abstractNum w:abstractNumId="372">
    <w:lvl w:ilvl="0">
      <w:start w:val="1"/>
      <w:numFmt w:val="bullet"/>
      <w:lvlText w:val="•"/>
    </w:lvl>
  </w:abstractNum>
  <w:abstractNum w:abstractNumId="378">
    <w:lvl w:ilvl="0">
      <w:start w:val="1"/>
      <w:numFmt w:val="bullet"/>
      <w:lvlText w:val="•"/>
    </w:lvl>
  </w:abstractNum>
  <w:abstractNum w:abstractNumId="384">
    <w:lvl w:ilvl="0">
      <w:start w:val="1"/>
      <w:numFmt w:val="bullet"/>
      <w:lvlText w:val="•"/>
    </w:lvl>
  </w:abstractNum>
  <w:abstractNum w:abstractNumId="390">
    <w:lvl w:ilvl="0">
      <w:start w:val="1"/>
      <w:numFmt w:val="bullet"/>
      <w:lvlText w:val="•"/>
    </w:lvl>
  </w:abstractNum>
  <w:abstractNum w:abstractNumId="396">
    <w:lvl w:ilvl="0">
      <w:start w:val="1"/>
      <w:numFmt w:val="bullet"/>
      <w:lvlText w:val="•"/>
    </w:lvl>
  </w:abstractNum>
  <w:abstractNum w:abstractNumId="402">
    <w:lvl w:ilvl="0">
      <w:start w:val="1"/>
      <w:numFmt w:val="bullet"/>
      <w:lvlText w:val="•"/>
    </w:lvl>
  </w:abstractNum>
  <w:abstractNum w:abstractNumId="408">
    <w:lvl w:ilvl="0">
      <w:start w:val="1"/>
      <w:numFmt w:val="bullet"/>
      <w:lvlText w:val="•"/>
    </w:lvl>
  </w:abstractNum>
  <w:abstractNum w:abstractNumId="414">
    <w:lvl w:ilvl="0">
      <w:start w:val="1"/>
      <w:numFmt w:val="bullet"/>
      <w:lvlText w:val="•"/>
    </w:lvl>
  </w:abstractNum>
  <w:abstractNum w:abstractNumId="420">
    <w:lvl w:ilvl="0">
      <w:start w:val="1"/>
      <w:numFmt w:val="bullet"/>
      <w:lvlText w:val="•"/>
    </w:lvl>
  </w:abstractNum>
  <w:num w:numId="23">
    <w:abstractNumId w:val="420"/>
  </w:num>
  <w:num w:numId="25">
    <w:abstractNumId w:val="414"/>
  </w:num>
  <w:num w:numId="30">
    <w:abstractNumId w:val="408"/>
  </w:num>
  <w:num w:numId="33">
    <w:abstractNumId w:val="402"/>
  </w:num>
  <w:num w:numId="36">
    <w:abstractNumId w:val="396"/>
  </w:num>
  <w:num w:numId="41">
    <w:abstractNumId w:val="390"/>
  </w:num>
  <w:num w:numId="44">
    <w:abstractNumId w:val="384"/>
  </w:num>
  <w:num w:numId="47">
    <w:abstractNumId w:val="378"/>
  </w:num>
  <w:num w:numId="50">
    <w:abstractNumId w:val="372"/>
  </w:num>
  <w:num w:numId="59">
    <w:abstractNumId w:val="366"/>
  </w:num>
  <w:num w:numId="64">
    <w:abstractNumId w:val="360"/>
  </w:num>
  <w:num w:numId="66">
    <w:abstractNumId w:val="354"/>
  </w:num>
  <w:num w:numId="73">
    <w:abstractNumId w:val="348"/>
  </w:num>
  <w:num w:numId="82">
    <w:abstractNumId w:val="342"/>
  </w:num>
  <w:num w:numId="118">
    <w:abstractNumId w:val="336"/>
  </w:num>
  <w:num w:numId="128">
    <w:abstractNumId w:val="330"/>
  </w:num>
  <w:num w:numId="131">
    <w:abstractNumId w:val="324"/>
  </w:num>
  <w:num w:numId="136">
    <w:abstractNumId w:val="318"/>
  </w:num>
  <w:num w:numId="142">
    <w:abstractNumId w:val="312"/>
  </w:num>
  <w:num w:numId="144">
    <w:abstractNumId w:val="306"/>
  </w:num>
  <w:num w:numId="146">
    <w:abstractNumId w:val="300"/>
  </w:num>
  <w:num w:numId="148">
    <w:abstractNumId w:val="294"/>
  </w:num>
  <w:num w:numId="150">
    <w:abstractNumId w:val="288"/>
  </w:num>
  <w:num w:numId="154">
    <w:abstractNumId w:val="282"/>
  </w:num>
  <w:num w:numId="156">
    <w:abstractNumId w:val="276"/>
  </w:num>
  <w:num w:numId="161">
    <w:abstractNumId w:val="270"/>
  </w:num>
  <w:num w:numId="200">
    <w:abstractNumId w:val="264"/>
  </w:num>
  <w:num w:numId="226">
    <w:abstractNumId w:val="258"/>
  </w:num>
  <w:num w:numId="262">
    <w:abstractNumId w:val="252"/>
  </w:num>
  <w:num w:numId="281">
    <w:abstractNumId w:val="246"/>
  </w:num>
  <w:num w:numId="286">
    <w:abstractNumId w:val="240"/>
  </w:num>
  <w:num w:numId="294">
    <w:abstractNumId w:val="234"/>
  </w:num>
  <w:num w:numId="296">
    <w:abstractNumId w:val="228"/>
  </w:num>
  <w:num w:numId="298">
    <w:abstractNumId w:val="222"/>
  </w:num>
  <w:num w:numId="300">
    <w:abstractNumId w:val="216"/>
  </w:num>
  <w:num w:numId="302">
    <w:abstractNumId w:val="210"/>
  </w:num>
  <w:num w:numId="306">
    <w:abstractNumId w:val="204"/>
  </w:num>
  <w:num w:numId="309">
    <w:abstractNumId w:val="198"/>
  </w:num>
  <w:num w:numId="312">
    <w:abstractNumId w:val="192"/>
  </w:num>
  <w:num w:numId="315">
    <w:abstractNumId w:val="186"/>
  </w:num>
  <w:num w:numId="319">
    <w:abstractNumId w:val="180"/>
  </w:num>
  <w:num w:numId="321">
    <w:abstractNumId w:val="174"/>
  </w:num>
  <w:num w:numId="323">
    <w:abstractNumId w:val="168"/>
  </w:num>
  <w:num w:numId="325">
    <w:abstractNumId w:val="162"/>
  </w:num>
  <w:num w:numId="327">
    <w:abstractNumId w:val="156"/>
  </w:num>
  <w:num w:numId="329">
    <w:abstractNumId w:val="150"/>
  </w:num>
  <w:num w:numId="331">
    <w:abstractNumId w:val="144"/>
  </w:num>
  <w:num w:numId="402">
    <w:abstractNumId w:val="138"/>
  </w:num>
  <w:num w:numId="404">
    <w:abstractNumId w:val="132"/>
  </w:num>
  <w:num w:numId="409">
    <w:abstractNumId w:val="126"/>
  </w:num>
  <w:num w:numId="411">
    <w:abstractNumId w:val="120"/>
  </w:num>
  <w:num w:numId="413">
    <w:abstractNumId w:val="114"/>
  </w:num>
  <w:num w:numId="464">
    <w:abstractNumId w:val="108"/>
  </w:num>
  <w:num w:numId="466">
    <w:abstractNumId w:val="102"/>
  </w:num>
  <w:num w:numId="514">
    <w:abstractNumId w:val="96"/>
  </w:num>
  <w:num w:numId="545">
    <w:abstractNumId w:val="90"/>
  </w:num>
  <w:num w:numId="547">
    <w:abstractNumId w:val="84"/>
  </w:num>
  <w:num w:numId="619">
    <w:abstractNumId w:val="78"/>
  </w:num>
  <w:num w:numId="621">
    <w:abstractNumId w:val="72"/>
  </w:num>
  <w:num w:numId="683">
    <w:abstractNumId w:val="66"/>
  </w:num>
  <w:num w:numId="685">
    <w:abstractNumId w:val="60"/>
  </w:num>
  <w:num w:numId="720">
    <w:abstractNumId w:val="54"/>
  </w:num>
  <w:num w:numId="722">
    <w:abstractNumId w:val="48"/>
  </w:num>
  <w:num w:numId="754">
    <w:abstractNumId w:val="42"/>
  </w:num>
  <w:num w:numId="756">
    <w:abstractNumId w:val="36"/>
  </w:num>
  <w:num w:numId="835">
    <w:abstractNumId w:val="30"/>
  </w:num>
  <w:num w:numId="879">
    <w:abstractNumId w:val="24"/>
  </w:num>
  <w:num w:numId="911">
    <w:abstractNumId w:val="18"/>
  </w:num>
  <w:num w:numId="947">
    <w:abstractNumId w:val="12"/>
  </w:num>
  <w:num w:numId="950">
    <w:abstractNumId w:val="6"/>
  </w:num>
  <w:num w:numId="953">
    <w:abstractNumId w:val="0"/>
  </w:num>
</w:numbering>
</file>

<file path=word/styles.xml><?xml version="1.0" encoding="utf-8"?>
<w:styles xmlns:w="http://schemas.openxmlformats.org/wordprocessingml/2006/main"/>
</file>

<file path=word/_rels/document.xml.rels><?xml version="1.0" encoding="UTF-8" standalone="yes"?>
<Relationships xmlns="http://schemas.openxmlformats.org/package/2006/relationships"><Relationship Id="docRId10" Type="http://schemas.openxmlformats.org/officeDocument/2006/relationships/oleObject" Target="embeddings/oleObject5.bin"/><Relationship Id="docRId31" Type="http://schemas.openxmlformats.org/officeDocument/2006/relationships/image" Target="media/image14.wmf"/><Relationship Id="docRId4" Type="http://schemas.openxmlformats.org/officeDocument/2006/relationships/oleObject" Target="embeddings/oleObject2.bin"/><Relationship Id="docRId23" Type="http://schemas.openxmlformats.org/officeDocument/2006/relationships/image" Target="media/image10.wmf"/><Relationship Id="docRId18" Type="http://schemas.openxmlformats.org/officeDocument/2006/relationships/oleObject" Target="embeddings/oleObject8.bin"/><Relationship Id="docRId39" Type="http://schemas.openxmlformats.org/officeDocument/2006/relationships/image" Target="media/image18.wmf"/><Relationship Id="docRId7" Type="http://schemas.openxmlformats.org/officeDocument/2006/relationships/image" Target="media/image3.wmf"/><Relationship Id="docRId34" Type="http://schemas.openxmlformats.org/officeDocument/2006/relationships/oleObject" Target="embeddings/oleObject16.bin"/><Relationship Id="docRId21" Type="http://schemas.openxmlformats.org/officeDocument/2006/relationships/image" Target="media/image9.wmf"/><Relationship Id="docRId13" Type="http://schemas.openxmlformats.org/officeDocument/2006/relationships/image" Target="media/image6.wmf"/><Relationship Id="docRId2" Type="http://schemas.openxmlformats.org/officeDocument/2006/relationships/oleObject" Target="embeddings/oleObject1.bin"/><Relationship Id="docRId26" Type="http://schemas.openxmlformats.org/officeDocument/2006/relationships/oleObject" Target="embeddings/oleObject12.bin"/><Relationship Id="rId2" Type="http://schemas.openxmlformats.org/officeDocument/2006/relationships/customXml" Target="../customXml/item2.xml"/><Relationship Id="docRId12" Type="http://schemas.openxmlformats.org/officeDocument/2006/relationships/oleObject" Target="embeddings/oleObject6.bin"/><Relationship Id="docRId38" Type="http://schemas.openxmlformats.org/officeDocument/2006/relationships/oleObject" Target="embeddings/oleObject18.bin"/><Relationship Id="docRId25" Type="http://schemas.openxmlformats.org/officeDocument/2006/relationships/image" Target="media/image11.wmf"/><Relationship Id="docRId17" Type="http://schemas.openxmlformats.org/officeDocument/2006/relationships/hyperlink" Target="http://www.cma.army.mil/pueblo.aspx" TargetMode="External"/><Relationship Id="docRId6" Type="http://schemas.openxmlformats.org/officeDocument/2006/relationships/oleObject" Target="embeddings/oleObject3.bin"/><Relationship Id="rId1" Type="http://schemas.openxmlformats.org/officeDocument/2006/relationships/customXml" Target="../customXml/item1.xml"/><Relationship Id="docRId29" Type="http://schemas.openxmlformats.org/officeDocument/2006/relationships/image" Target="media/image13.wmf"/><Relationship Id="docRId41" Type="http://schemas.openxmlformats.org/officeDocument/2006/relationships/styles" Target="styles.xml"/><Relationship Id="docRId20" Type="http://schemas.openxmlformats.org/officeDocument/2006/relationships/oleObject" Target="embeddings/oleObject9.bin"/><Relationship Id="docRId33" Type="http://schemas.openxmlformats.org/officeDocument/2006/relationships/image" Target="media/image15.wmf"/><Relationship Id="docRId1" Type="http://schemas.openxmlformats.org/officeDocument/2006/relationships/image" Target="media/image0.wmf"/><Relationship Id="docRId0" Type="http://schemas.openxmlformats.org/officeDocument/2006/relationships/oleObject" Target="embeddings/oleObject0.bin"/><Relationship Id="docRId37" Type="http://schemas.openxmlformats.org/officeDocument/2006/relationships/image" Target="media/image17.wmf"/><Relationship Id="docRId11" Type="http://schemas.openxmlformats.org/officeDocument/2006/relationships/image" Target="media/image5.wmf"/><Relationship Id="docRId5" Type="http://schemas.openxmlformats.org/officeDocument/2006/relationships/image" Target="media/image2.wmf"/><Relationship Id="docRId16" Type="http://schemas.openxmlformats.org/officeDocument/2006/relationships/hyperlink" Target="http://www.cma.army.mil/pueblo.aspx" TargetMode="External"/><Relationship Id="docRId32" Type="http://schemas.openxmlformats.org/officeDocument/2006/relationships/oleObject" Target="embeddings/oleObject15.bin"/><Relationship Id="docRId24" Type="http://schemas.openxmlformats.org/officeDocument/2006/relationships/oleObject" Target="embeddings/oleObject11.bin"/><Relationship Id="docRId9" Type="http://schemas.openxmlformats.org/officeDocument/2006/relationships/image" Target="media/image4.wmf"/><Relationship Id="docRId36" Type="http://schemas.openxmlformats.org/officeDocument/2006/relationships/oleObject" Target="embeddings/oleObject17.bin"/><Relationship Id="docRId28" Type="http://schemas.openxmlformats.org/officeDocument/2006/relationships/oleObject" Target="embeddings/oleObject13.bin"/><Relationship Id="docRId40" Type="http://schemas.openxmlformats.org/officeDocument/2006/relationships/numbering" Target="numbering.xml"/><Relationship Id="docRId15" Type="http://schemas.openxmlformats.org/officeDocument/2006/relationships/image" Target="media/image7.wmf"/><Relationship Id="docRId14" Type="http://schemas.openxmlformats.org/officeDocument/2006/relationships/oleObject" Target="embeddings/oleObject7.bin"/><Relationship Id="docRId22" Type="http://schemas.openxmlformats.org/officeDocument/2006/relationships/oleObject" Target="embeddings/oleObject10.bin"/><Relationship Id="docRId8" Type="http://schemas.openxmlformats.org/officeDocument/2006/relationships/oleObject" Target="embeddings/oleObject4.bin"/><Relationship Id="docRId3" Type="http://schemas.openxmlformats.org/officeDocument/2006/relationships/image" Target="media/image1.wmf"/><Relationship Id="docRId27" Type="http://schemas.openxmlformats.org/officeDocument/2006/relationships/image" Target="media/image12.wmf"/><Relationship Id="docRId19" Type="http://schemas.openxmlformats.org/officeDocument/2006/relationships/image" Target="media/image8.wmf"/><Relationship Id="docRId35" Type="http://schemas.openxmlformats.org/officeDocument/2006/relationships/image" Target="media/image16.wmf"/><Relationship Id="rId3" Type="http://schemas.openxmlformats.org/officeDocument/2006/relationships/customXml" Target="../customXml/item3.xml"/><Relationship Id="docRId30" Type="http://schemas.openxmlformats.org/officeDocument/2006/relationships/oleObject" Target="embeddings/oleObject14.bin"/></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ransportation" ma:contentTypeID="0x0101003F73C9530E9D0C4590626973E01F86C004001B3367FBA4FB614092BDBBB010D23412" ma:contentTypeVersion="29" ma:contentTypeDescription="Create a new document." ma:contentTypeScope="" ma:versionID="151213ebcc1ee291feaed8b0b73d3800">
  <xsd:schema xmlns:xsd="http://www.w3.org/2001/XMLSchema" xmlns:xs="http://www.w3.org/2001/XMLSchema" xmlns:p="http://schemas.microsoft.com/office/2006/metadata/properties" xmlns:ns2="4d35072b-2293-41e5-b72d-717675e9dea2" targetNamespace="http://schemas.microsoft.com/office/2006/metadata/properties" ma:root="true" ma:fieldsID="11d2233fd8670f8ce86abacc64794f6c" ns2:_="">
    <xsd:import namespace="4d35072b-2293-41e5-b72d-717675e9dea2"/>
    <xsd:element name="properties">
      <xsd:complexType>
        <xsd:sequence>
          <xsd:element name="documentManagement">
            <xsd:complexType>
              <xsd:all>
                <xsd:element ref="ns2:Author_x005f_x0020__x005f_x0028_NEFC_x005f_x0020_KM_x005f_x0029_"/>
                <xsd:element ref="ns2:Publication_x005f_x0020_Date"/>
                <xsd:element ref="ns2:Publisher_x005f_x0020__x005f_x0028_NEFC_x005f_x0020_KM_x005f_x0029_" minOccurs="0"/>
                <xsd:element ref="ns2:SAND_x005f_x0020_Number" minOccurs="0"/>
                <xsd:element ref="ns2:l1d3df7e09684d5a87015f7163e936c9" minOccurs="0"/>
                <xsd:element ref="ns2:i43f14c28349405092e42b38c9d0dd0c" minOccurs="0"/>
                <xsd:element ref="ns2:l07ef2ab96e34230a2a965e7224e77f3" minOccurs="0"/>
                <xsd:element ref="ns2:id1c59269c40412ebebd4c49c9c7cebb" minOccurs="0"/>
                <xsd:element ref="ns2:pe76219b3a9649a5a947a5a62a5ca157" minOccurs="0"/>
                <xsd:element ref="ns2:lbb69d7657954d6e8286f970a3331f7d" minOccurs="0"/>
                <xsd:element ref="ns2:n52be3895ec4416e85730295044ca3be" minOccurs="0"/>
                <xsd:element ref="ns2:o33d2c11eb8149dd843dd4a4b9d31adc" minOccurs="0"/>
                <xsd:element ref="ns2:c7b0a16c3764456e918619c68611bfee" minOccurs="0"/>
                <xsd:element ref="ns2:o29ce2be6c874d558d14a8efb2cf2f73" minOccurs="0"/>
                <xsd:element ref="ns2:g9948d445c2f44eb8b39f5143260bf35"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5072b-2293-41e5-b72d-717675e9dea2" elementFormDefault="qualified">
    <xsd:import namespace="http://schemas.microsoft.com/office/2006/documentManagement/types"/>
    <xsd:import namespace="http://schemas.microsoft.com/office/infopath/2007/PartnerControls"/>
    <xsd:element name="Author_x005f_x0020__x005f_x0028_NEFC_x005f_x0020_KM_x005f_x0029_" ma:index="4" ma:displayName="Author(s)" ma:description="The individual who wrote or contributed to the knowledge asset." ma:internalName="Author_x0020__x0028_NEFC_x0020_KM_x0029_" ma:readOnly="false">
      <xsd:simpleType>
        <xsd:restriction base="dms:Text">
          <xsd:maxLength value="255"/>
        </xsd:restriction>
      </xsd:simpleType>
    </xsd:element>
    <xsd:element name="Publication_x005f_x0020_Date" ma:index="14" ma:displayName="Publication Date" ma:description="Date the document was published." ma:format="DateOnly" ma:internalName="Publication_x0020_Date" ma:readOnly="false">
      <xsd:simpleType>
        <xsd:restriction base="dms:DateTime"/>
      </xsd:simpleType>
    </xsd:element>
    <xsd:element name="Publisher_x005f_x0020__x005f_x0028_NEFC_x005f_x0020_KM_x005f_x0029_" ma:index="15" nillable="true" ma:displayName="Publisher(s)" ma:internalName="Publisher_x0020__x0028_NEFC_x0020_KM_x0029_" ma:readOnly="false">
      <xsd:simpleType>
        <xsd:restriction base="dms:Text">
          <xsd:maxLength value="255"/>
        </xsd:restriction>
      </xsd:simpleType>
    </xsd:element>
    <xsd:element name="SAND_x005f_x0020_Number" ma:index="16" nillable="true" ma:displayName="Document ID" ma:internalName="SAND_x0020_Number" ma:readOnly="false">
      <xsd:simpleType>
        <xsd:restriction base="dms:Text">
          <xsd:maxLength value="255"/>
        </xsd:restriction>
      </xsd:simpleType>
    </xsd:element>
    <xsd:element name="l1d3df7e09684d5a87015f7163e936c9" ma:index="17" nillable="true" ma:taxonomy="true" ma:internalName="l1d3df7e09684d5a87015f7163e936c9" ma:taxonomyFieldName="Technical_x0020_Field" ma:displayName="Technical Field" ma:readOnly="false" ma:default="" ma:fieldId="{51d3df7e-0968-4d5a-8701-5f7163e936c9}" ma:taxonomyMulti="true" ma:sspId="ae9a0c85-7947-4de8-8007-231928f82877" ma:termSetId="f2ceb65c-d33a-47e0-8ab0-a37d3aef5a5e" ma:anchorId="00000000-0000-0000-0000-000000000000" ma:open="false" ma:isKeyword="false">
      <xsd:complexType>
        <xsd:sequence>
          <xsd:element ref="pc:Terms" minOccurs="0" maxOccurs="1"/>
        </xsd:sequence>
      </xsd:complexType>
    </xsd:element>
    <xsd:element name="i43f14c28349405092e42b38c9d0dd0c" ma:index="18" nillable="true" ma:taxonomy="true" ma:internalName="i43f14c28349405092e42b38c9d0dd0c" ma:taxonomyFieldName="Funding_x0020_Source" ma:displayName="Funding Source" ma:readOnly="false" ma:default="" ma:fieldId="{243f14c2-8349-4050-92e4-2b38c9d0dd0c}" ma:taxonomyMulti="true" ma:sspId="ae9a0c85-7947-4de8-8007-231928f82877" ma:termSetId="8ed2d485-a6e6-4c29-9527-abff1f4ff8ee" ma:anchorId="00000000-0000-0000-0000-000000000000" ma:open="false" ma:isKeyword="false">
      <xsd:complexType>
        <xsd:sequence>
          <xsd:element ref="pc:Terms" minOccurs="0" maxOccurs="1"/>
        </xsd:sequence>
      </xsd:complexType>
    </xsd:element>
    <xsd:element name="l07ef2ab96e34230a2a965e7224e77f3" ma:index="20" nillable="true" ma:taxonomy="true" ma:internalName="l07ef2ab96e34230a2a965e7224e77f3" ma:taxonomyFieldName="Material" ma:displayName="Material" ma:readOnly="false" ma:default="" ma:fieldId="{507ef2ab-96e3-4230-a2a9-65e7224e77f3}" ma:taxonomyMulti="true" ma:sspId="ae9a0c85-7947-4de8-8007-231928f82877" ma:termSetId="1b49d6d6-6314-458d-a263-98208f102a41" ma:anchorId="00000000-0000-0000-0000-000000000000" ma:open="false" ma:isKeyword="false">
      <xsd:complexType>
        <xsd:sequence>
          <xsd:element ref="pc:Terms" minOccurs="0" maxOccurs="1"/>
        </xsd:sequence>
      </xsd:complexType>
    </xsd:element>
    <xsd:element name="id1c59269c40412ebebd4c49c9c7cebb" ma:index="21" nillable="true" ma:taxonomy="true" ma:internalName="id1c59269c40412ebebd4c49c9c7cebb" ma:taxonomyFieldName="Site_x0020_Type" ma:displayName="Site Type" ma:readOnly="false" ma:default="" ma:fieldId="{2d1c5926-9c40-412e-bebd-4c49c9c7cebb}" ma:sspId="ae9a0c85-7947-4de8-8007-231928f82877" ma:termSetId="3df734da-d326-4339-a17a-14fdb2c2d10e" ma:anchorId="00000000-0000-0000-0000-000000000000" ma:open="false" ma:isKeyword="false">
      <xsd:complexType>
        <xsd:sequence>
          <xsd:element ref="pc:Terms" minOccurs="0" maxOccurs="1"/>
        </xsd:sequence>
      </xsd:complexType>
    </xsd:element>
    <xsd:element name="pe76219b3a9649a5a947a5a62a5ca157" ma:index="22" nillable="true" ma:taxonomy="true" ma:internalName="pe76219b3a9649a5a947a5a62a5ca157" ma:taxonomyFieldName="SSCs" ma:displayName="Structures, Systems &amp; Components" ma:readOnly="false" ma:default="" ma:fieldId="{9e76219b-3a96-49a5-a947-a5a62a5ca157}" ma:taxonomyMulti="true" ma:sspId="ae9a0c85-7947-4de8-8007-231928f82877" ma:termSetId="6bf65cf5-b376-46ad-bfca-d01c92f9e8db" ma:anchorId="00000000-0000-0000-0000-000000000000" ma:open="false" ma:isKeyword="false">
      <xsd:complexType>
        <xsd:sequence>
          <xsd:element ref="pc:Terms" minOccurs="0" maxOccurs="1"/>
        </xsd:sequence>
      </xsd:complexType>
    </xsd:element>
    <xsd:element name="lbb69d7657954d6e8286f970a3331f7d" ma:index="23" nillable="true" ma:taxonomy="true" ma:internalName="lbb69d7657954d6e8286f970a3331f7d" ma:taxonomyFieldName="Waste_x0020_Form" ma:displayName="Waste Form" ma:readOnly="false" ma:default="" ma:fieldId="{5bb69d76-5795-4d6e-8286-f970a3331f7d}" ma:taxonomyMulti="true" ma:sspId="ae9a0c85-7947-4de8-8007-231928f82877" ma:termSetId="4ad74786-bc5d-4252-99a7-a208fd76096f" ma:anchorId="00000000-0000-0000-0000-000000000000" ma:open="false" ma:isKeyword="false">
      <xsd:complexType>
        <xsd:sequence>
          <xsd:element ref="pc:Terms" minOccurs="0" maxOccurs="1"/>
        </xsd:sequence>
      </xsd:complexType>
    </xsd:element>
    <xsd:element name="n52be3895ec4416e85730295044ca3be" ma:index="25" ma:taxonomy="true" ma:internalName="n52be3895ec4416e85730295044ca3be" ma:taxonomyFieldName="Access_x0020_Limitation" ma:displayName="Access Limitation" ma:readOnly="false" ma:default="" ma:fieldId="{752be389-5ec4-416e-8573-0295044ca3be}" ma:sspId="ae9a0c85-7947-4de8-8007-231928f82877" ma:termSetId="8b1c94c8-b7ec-4208-be61-e28c8e44b3c2" ma:anchorId="00000000-0000-0000-0000-000000000000" ma:open="false" ma:isKeyword="false">
      <xsd:complexType>
        <xsd:sequence>
          <xsd:element ref="pc:Terms" minOccurs="0" maxOccurs="1"/>
        </xsd:sequence>
      </xsd:complexType>
    </xsd:element>
    <xsd:element name="o33d2c11eb8149dd843dd4a4b9d31adc" ma:index="26" nillable="true" ma:taxonomy="true" ma:internalName="o33d2c11eb8149dd843dd4a4b9d31adc" ma:taxonomyFieldName="Subject_x0020_Matter" ma:displayName="Primary Subject Matter" ma:readOnly="false" ma:default="" ma:fieldId="{833d2c11-eb81-49dd-843d-d4a4b9d31adc}" ma:sspId="ae9a0c85-7947-4de8-8007-231928f82877" ma:termSetId="bea6f638-2a69-4113-984f-b99e0166f2a7" ma:anchorId="00000000-0000-0000-0000-000000000000" ma:open="false" ma:isKeyword="false">
      <xsd:complexType>
        <xsd:sequence>
          <xsd:element ref="pc:Terms" minOccurs="0" maxOccurs="1"/>
        </xsd:sequence>
      </xsd:complexType>
    </xsd:element>
    <xsd:element name="c7b0a16c3764456e918619c68611bfee" ma:index="29" nillable="true" ma:taxonomy="true" ma:internalName="c7b0a16c3764456e918619c68611bfee" ma:taxonomyFieldName="Secondary_x0020_Subject" ma:displayName="Subject Matter" ma:readOnly="false" ma:default="" ma:fieldId="{c7b0a16c-3764-456e-9186-19c68611bfee}" ma:taxonomyMulti="true" ma:sspId="ae9a0c85-7947-4de8-8007-231928f82877" ma:termSetId="1ed8914d-4771-4f15-9c1a-faf4589d6e9b" ma:anchorId="00000000-0000-0000-0000-000000000000" ma:open="false" ma:isKeyword="false">
      <xsd:complexType>
        <xsd:sequence>
          <xsd:element ref="pc:Terms" minOccurs="0" maxOccurs="1"/>
        </xsd:sequence>
      </xsd:complexType>
    </xsd:element>
    <xsd:element name="o29ce2be6c874d558d14a8efb2cf2f73" ma:index="30" ma:taxonomy="true" ma:internalName="o29ce2be6c874d558d14a8efb2cf2f73" ma:taxonomyFieldName="Content_x0020_Type" ma:displayName="Category of Content" ma:readOnly="false" ma:default="" ma:fieldId="{829ce2be-6c87-4d55-8d14-a8efb2cf2f73}" ma:sspId="ae9a0c85-7947-4de8-8007-231928f82877" ma:termSetId="6bda5d78-9495-4195-b03f-6f1a7143b48b" ma:anchorId="00000000-0000-0000-0000-000000000000" ma:open="false" ma:isKeyword="false">
      <xsd:complexType>
        <xsd:sequence>
          <xsd:element ref="pc:Terms" minOccurs="0" maxOccurs="1"/>
        </xsd:sequence>
      </xsd:complexType>
    </xsd:element>
    <xsd:element name="g9948d445c2f44eb8b39f5143260bf35" ma:index="31" ma:taxonomy="true" ma:internalName="g9948d445c2f44eb8b39f5143260bf35" ma:taxonomyFieldName="Associated_x0020_Activity" ma:displayName="Function" ma:readOnly="false" ma:fieldId="{09948d44-5c2f-44eb-8b39-f5143260bf35}" ma:taxonomyMulti="true" ma:sspId="ae9a0c85-7947-4de8-8007-231928f82877" ma:termSetId="f40fdb36-912d-4004-83dd-6fffcf0f0cc7" ma:anchorId="00000000-0000-0000-0000-000000000000" ma:open="false" ma:isKeyword="false">
      <xsd:complexType>
        <xsd:sequence>
          <xsd:element ref="pc:Terms" minOccurs="0" maxOccurs="1"/>
        </xsd:sequence>
      </xsd:complexType>
    </xsd:element>
    <xsd:element name="TaxCatchAll" ma:index="34" nillable="true" ma:displayName="Taxonomy Catch All Column" ma:hidden="true" ma:list="{891bf1ca-86aa-4665-b8dc-28487b5b705f}" ma:internalName="TaxCatchAll" ma:showField="CatchAllData" ma:web="4d35072b-2293-41e5-b72d-717675e9dea2">
      <xsd:complexType>
        <xsd:complexContent>
          <xsd:extension base="dms:MultiChoiceLookup">
            <xsd:sequence>
              <xsd:element name="Value" type="dms:Lookup" maxOccurs="unbounded" minOccurs="0" nillable="true"/>
            </xsd:sequence>
          </xsd:extension>
        </xsd:complexContent>
      </xsd:complexType>
    </xsd:element>
    <xsd:element name="TaxCatchAllLabel" ma:index="35" nillable="true" ma:displayName="Taxonomy Catch All Column1" ma:hidden="true" ma:list="{891bf1ca-86aa-4665-b8dc-28487b5b705f}" ma:internalName="TaxCatchAllLabel" ma:readOnly="true" ma:showField="CatchAllDataLabel" ma:web="4d35072b-2293-41e5-b72d-717675e9de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7b0a16c3764456e918619c68611bfee xmlns="4d35072b-2293-41e5-b72d-717675e9dea2">
      <Terms xmlns="http://schemas.microsoft.com/office/infopath/2007/PartnerControls">
        <TermInfo xmlns="http://schemas.microsoft.com/office/infopath/2007/PartnerControls">
          <TermName xmlns="http://schemas.microsoft.com/office/infopath/2007/PartnerControls">Transportation Requirements</TermName>
          <TermId xmlns="http://schemas.microsoft.com/office/infopath/2007/PartnerControls">7baedaf4-202e-43c0-b4f7-b2f4b9af6687</TermId>
        </TermInfo>
      </Terms>
    </c7b0a16c3764456e918619c68611bfee>
    <Author_x005f_x0020__x005f_x0028_NEFC_x005f_x0020_KM_x005f_x0029_ xmlns="4d35072b-2293-41e5-b72d-717675e9dea2">Steven Ross, Ralph Best, Philip Jensen, Nick Klymyshyn, William Shust, David Garrido, Russ Walker, Stan Gurule, Ruben Pena</Author_x005f_x0020__x005f_x0028_NEFC_x005f_x0020_KM_x005f_x0029_>
    <TaxCatchAll xmlns="4d35072b-2293-41e5-b72d-717675e9dea2">
      <Value>439</Value>
      <Value>98</Value>
      <Value>46</Value>
      <Value>147</Value>
      <Value>4</Value>
      <Value>47</Value>
      <Value>90</Value>
      <Value>21</Value>
      <Value>3</Value>
      <Value>116</Value>
    </TaxCatchAll>
    <id1c59269c40412ebebd4c49c9c7cebb xmlns="4d35072b-2293-41e5-b72d-717675e9dea2">
      <Terms xmlns="http://schemas.microsoft.com/office/infopath/2007/PartnerControls"/>
    </id1c59269c40412ebebd4c49c9c7cebb>
    <o29ce2be6c874d558d14a8efb2cf2f73 xmlns="4d35072b-2293-41e5-b72d-717675e9dea2">
      <Terms xmlns="http://schemas.microsoft.com/office/infopath/2007/PartnerControls">
        <TermInfo xmlns="http://schemas.microsoft.com/office/infopath/2007/PartnerControls">
          <TermName xmlns="http://schemas.microsoft.com/office/infopath/2007/PartnerControls">DOE Milestone Reports</TermName>
          <TermId xmlns="http://schemas.microsoft.com/office/infopath/2007/PartnerControls">fa6a444e-4ad0-4e87-ae60-80445fc58047</TermId>
        </TermInfo>
      </Terms>
    </o29ce2be6c874d558d14a8efb2cf2f73>
    <g9948d445c2f44eb8b39f5143260bf35 xmlns="4d35072b-2293-41e5-b72d-717675e9dea2">
      <Terms xmlns="http://schemas.microsoft.com/office/infopath/2007/PartnerControls">
        <TermInfo xmlns="http://schemas.microsoft.com/office/infopath/2007/PartnerControls">
          <TermName xmlns="http://schemas.microsoft.com/office/infopath/2007/PartnerControls">Technical Analysis</TermName>
          <TermId xmlns="http://schemas.microsoft.com/office/infopath/2007/PartnerControls">409c8ab8-5487-4a08-814c-afe0ed4bb9a9</TermId>
        </TermInfo>
        <TermInfo xmlns="http://schemas.microsoft.com/office/infopath/2007/PartnerControls">
          <TermName xmlns="http://schemas.microsoft.com/office/infopath/2007/PartnerControls">Modeling</TermName>
          <TermId xmlns="http://schemas.microsoft.com/office/infopath/2007/PartnerControls">25547ff5-b9b6-4c45-b807-6515c65c538d</TermId>
        </TermInfo>
        <TermInfo xmlns="http://schemas.microsoft.com/office/infopath/2007/PartnerControls">
          <TermName xmlns="http://schemas.microsoft.com/office/infopath/2007/PartnerControls">Project Management</TermName>
          <TermId xmlns="http://schemas.microsoft.com/office/infopath/2007/PartnerControls">7470d074-96e7-4180-9427-4e8e98eff8b5</TermId>
        </TermInfo>
        <TermInfo xmlns="http://schemas.microsoft.com/office/infopath/2007/PartnerControls">
          <TermName xmlns="http://schemas.microsoft.com/office/infopath/2007/PartnerControls">Status/Progress Reporting</TermName>
          <TermId xmlns="http://schemas.microsoft.com/office/infopath/2007/PartnerControls">56d08c45-0b54-4e03-8464-b8e28d729d76</TermId>
        </TermInfo>
        <TermInfo xmlns="http://schemas.microsoft.com/office/infopath/2007/PartnerControls">
          <TermName xmlns="http://schemas.microsoft.com/office/infopath/2007/PartnerControls">Systems Engineering</TermName>
          <TermId xmlns="http://schemas.microsoft.com/office/infopath/2007/PartnerControls">047877e1-d792-47b1-bbfc-df1ba622a00a</TermId>
        </TermInfo>
      </Terms>
    </g9948d445c2f44eb8b39f5143260bf35>
    <SAND_x005f_x0020_Number xmlns="4d35072b-2293-41e5-b72d-717675e9dea2">FCRD-UFD-2016-000424, PNNL-25720?</SAND_x005f_x0020_Number>
    <lbb69d7657954d6e8286f970a3331f7d xmlns="4d35072b-2293-41e5-b72d-717675e9dea2">
      <Terms xmlns="http://schemas.microsoft.com/office/infopath/2007/PartnerControls"/>
    </lbb69d7657954d6e8286f970a3331f7d>
    <o33d2c11eb8149dd843dd4a4b9d31adc xmlns="4d35072b-2293-41e5-b72d-717675e9dea2">
      <Terms xmlns="http://schemas.microsoft.com/office/infopath/2007/PartnerControls"/>
    </o33d2c11eb8149dd843dd4a4b9d31adc>
    <i43f14c28349405092e42b38c9d0dd0c xmlns="4d35072b-2293-41e5-b72d-717675e9dea2">
      <Terms xmlns="http://schemas.microsoft.com/office/infopath/2007/PartnerControls">
        <TermInfo xmlns="http://schemas.microsoft.com/office/infopath/2007/PartnerControls">
          <TermName xmlns="http://schemas.microsoft.com/office/infopath/2007/PartnerControls">Department of Energy</TermName>
          <TermId xmlns="http://schemas.microsoft.com/office/infopath/2007/PartnerControls">0e5bb493-fb61-403c-9099-902cb2cb90d4</TermId>
        </TermInfo>
      </Terms>
    </i43f14c28349405092e42b38c9d0dd0c>
    <l1d3df7e09684d5a87015f7163e936c9 xmlns="4d35072b-2293-41e5-b72d-717675e9dea2">
      <Terms xmlns="http://schemas.microsoft.com/office/infopath/2007/PartnerControls"/>
    </l1d3df7e09684d5a87015f7163e936c9>
    <pe76219b3a9649a5a947a5a62a5ca157 xmlns="4d35072b-2293-41e5-b72d-717675e9dea2">
      <Terms xmlns="http://schemas.microsoft.com/office/infopath/2007/PartnerControls">
        <TermInfo xmlns="http://schemas.microsoft.com/office/infopath/2007/PartnerControls">
          <TermName xmlns="http://schemas.microsoft.com/office/infopath/2007/PartnerControls">Railcars</TermName>
          <TermId xmlns="http://schemas.microsoft.com/office/infopath/2007/PartnerControls">a870bb62-fda0-4c96-a0b6-e28bb106cec0</TermId>
        </TermInfo>
      </Terms>
    </pe76219b3a9649a5a947a5a62a5ca157>
    <l07ef2ab96e34230a2a965e7224e77f3 xmlns="4d35072b-2293-41e5-b72d-717675e9dea2">
      <Terms xmlns="http://schemas.microsoft.com/office/infopath/2007/PartnerControls"/>
    </l07ef2ab96e34230a2a965e7224e77f3>
    <n52be3895ec4416e85730295044ca3be xmlns="4d35072b-2293-41e5-b72d-717675e9dea2">
      <Terms xmlns="http://schemas.microsoft.com/office/infopath/2007/PartnerControls">
        <TermInfo xmlns="http://schemas.microsoft.com/office/infopath/2007/PartnerControls">
          <TermName xmlns="http://schemas.microsoft.com/office/infopath/2007/PartnerControls">Unclassified Unlimited Release (UUR)</TermName>
          <TermId xmlns="http://schemas.microsoft.com/office/infopath/2007/PartnerControls">e9dbb40d-e0ec-4331-a47c-3d3bfff2dbf3</TermId>
        </TermInfo>
      </Terms>
    </n52be3895ec4416e85730295044ca3be>
    <Publisher_x005f_x0020__x005f_x0028_NEFC_x005f_x0020_KM_x005f_x0029_ xmlns="4d35072b-2293-41e5-b72d-717675e9dea2">Pacific Northwest National Laboratory</Publisher_x005f_x0020__x005f_x0028_NEFC_x005f_x0020_KM_x005f_x0029_>
    <Publication_x005f_x0020_Date xmlns="4d35072b-2293-41e5-b72d-717675e9dea2">2016-08-19T06:00:00+00:00</Publication_x005f_x0020_Date>
  </documentManagement>
</p:properties>
</file>

<file path=customXml/itemProps1.xml><?xml version="1.0" encoding="utf-8"?>
<ds:datastoreItem xmlns:ds="http://schemas.openxmlformats.org/officeDocument/2006/customXml" ds:itemID="{D4C39C5F-A117-4F46-AB38-B154AA8AD889}"/>
</file>

<file path=customXml/itemProps2.xml><?xml version="1.0" encoding="utf-8"?>
<ds:datastoreItem xmlns:ds="http://schemas.openxmlformats.org/officeDocument/2006/customXml" ds:itemID="{DDDCEB95-A33E-4351-BB79-CB6A5B25E678}"/>
</file>

<file path=customXml/itemProps3.xml><?xml version="1.0" encoding="utf-8"?>
<ds:datastoreItem xmlns:ds="http://schemas.openxmlformats.org/officeDocument/2006/customXml" ds:itemID="{37183699-8BAA-4887-BD2B-C862D25653BF}"/>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ENSA/DOE TRANSPORT SHOCK AND VIBRATION TEST PLAN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0x0101003F73C9530E9D0C4590626973E01F86C004001B3367FBA4FB614092BDBBB010D23412</vt:lpwstr>
  </property>
  <property fmtid="{D5CDD505-2E9C-101B-9397-08002B2CF9AE}" pid="3" name="Order">
    <vt:r8>37900</vt:r8>
  </property>
  <property fmtid="{D5CDD505-2E9C-101B-9397-08002B2CF9AE}" pid="4" name="Associated_x0020_Activity">
    <vt:lpwstr/>
  </property>
  <property fmtid="{D5CDD505-2E9C-101B-9397-08002B2CF9AE}" pid="5" name="Secondary_x0020_Subject">
    <vt:lpwstr/>
  </property>
  <property fmtid="{D5CDD505-2E9C-101B-9397-08002B2CF9AE}" pid="6" name="Material">
    <vt:lpwstr/>
  </property>
  <property fmtid="{D5CDD505-2E9C-101B-9397-08002B2CF9AE}" pid="7" name="Content_x0020_Type">
    <vt:lpwstr/>
  </property>
  <property fmtid="{D5CDD505-2E9C-101B-9397-08002B2CF9AE}" pid="8" name="SharedWithUsers">
    <vt:lpwstr/>
  </property>
  <property fmtid="{D5CDD505-2E9C-101B-9397-08002B2CF9AE}" pid="9" name="Subject_x0020_Matter">
    <vt:lpwstr/>
  </property>
  <property fmtid="{D5CDD505-2E9C-101B-9397-08002B2CF9AE}" pid="10" name="Waste_x0020_Form">
    <vt:lpwstr/>
  </property>
  <property fmtid="{D5CDD505-2E9C-101B-9397-08002B2CF9AE}" pid="11" name="Funding_x0020_Source">
    <vt:lpwstr/>
  </property>
  <property fmtid="{D5CDD505-2E9C-101B-9397-08002B2CF9AE}" pid="12" name="Access Limitation">
    <vt:lpwstr>4;#Unclassified Unlimited Release (UUR)|e9dbb40d-e0ec-4331-a47c-3d3bfff2dbf3</vt:lpwstr>
  </property>
  <property fmtid="{D5CDD505-2E9C-101B-9397-08002B2CF9AE}" pid="13" name="Technical_x0020_Field">
    <vt:lpwstr/>
  </property>
  <property fmtid="{D5CDD505-2E9C-101B-9397-08002B2CF9AE}" pid="14" name="SSCs">
    <vt:lpwstr>147;#Railcars|a870bb62-fda0-4c96-a0b6-e28bb106cec0</vt:lpwstr>
  </property>
  <property fmtid="{D5CDD505-2E9C-101B-9397-08002B2CF9AE}" pid="15" name="Site_x0020_Type">
    <vt:lpwstr/>
  </property>
  <property fmtid="{D5CDD505-2E9C-101B-9397-08002B2CF9AE}" pid="16" name="Secondary Subject">
    <vt:lpwstr>46;#Transportation Requirements|7baedaf4-202e-43c0-b4f7-b2f4b9af6687</vt:lpwstr>
  </property>
  <property fmtid="{D5CDD505-2E9C-101B-9397-08002B2CF9AE}" pid="17" name="Funding Source">
    <vt:lpwstr>3;#Department of Energy|0e5bb493-fb61-403c-9099-902cb2cb90d4</vt:lpwstr>
  </property>
  <property fmtid="{D5CDD505-2E9C-101B-9397-08002B2CF9AE}" pid="19" name="Associated Activity">
    <vt:lpwstr>47;#Technical Analysis|409c8ab8-5487-4a08-814c-afe0ed4bb9a9;#98;#Modeling|25547ff5-b9b6-4c45-b807-6515c65c538d;#90;#Project Management|7470d074-96e7-4180-9427-4e8e98eff8b5;#116;#Status/Progress Reporting|56d08c45-0b54-4e03-8464-b8e28d729d76;#439;#Systems Engineering|047877e1-d792-47b1-bbfc-df1ba622a00a</vt:lpwstr>
  </property>
  <property fmtid="{D5CDD505-2E9C-101B-9397-08002B2CF9AE}" pid="20" name="Content Type">
    <vt:lpwstr>21;#DOE Milestone Reports|fa6a444e-4ad0-4e87-ae60-80445fc58047</vt:lpwstr>
  </property>
  <property fmtid="{D5CDD505-2E9C-101B-9397-08002B2CF9AE}" pid="21" name="Waste Form">
    <vt:lpwstr/>
  </property>
  <property fmtid="{D5CDD505-2E9C-101B-9397-08002B2CF9AE}" pid="22" name="Subject Matter">
    <vt:lpwstr/>
  </property>
  <property fmtid="{D5CDD505-2E9C-101B-9397-08002B2CF9AE}" pid="23" name="Technical Field">
    <vt:lpwstr/>
  </property>
  <property fmtid="{D5CDD505-2E9C-101B-9397-08002B2CF9AE}" pid="24" name="Site Type">
    <vt:lpwstr/>
  </property>
</Properties>
</file>